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28"/>
          <w:szCs w:val="28"/>
        </w:rPr>
        <w:t xml:space="preserve">Supplementary File S2</w:t>
      </w:r>
    </w:p>
    <w:p>
      <w:pPr>
        <w:spacing w:after="120"/>
      </w:pPr>
      <w:r>
        <w:rPr>
          <w:rFonts w:ascii="Arial" w:cs="Arial" w:eastAsia="Arial" w:hAnsi="Arial"/>
          <w:b/>
          <w:bCs/>
          <w:sz w:val="24"/>
          <w:szCs w:val="24"/>
        </w:rPr>
        <w:t xml:space="preserve">Consolidated Criteria for Reporting Qualitative Research (COREQ) — 32-item Checklist</w:t>
      </w:r>
    </w:p>
    <w:p>
      <w:pPr>
        <w:pBdr>
          <w:bottom w:val="single" w:color="2E75B6" w:sz="6" w:space="1"/>
        </w:pBdr>
        <w:spacing w:after="160"/>
      </w:pPr>
      <w:r>
        <w:rPr>
          <w:rFonts w:ascii="Arial" w:cs="Arial" w:eastAsia="Arial" w:hAnsi="Arial"/>
          <w:sz w:val="8"/>
          <w:szCs w:val="8"/>
        </w:rPr>
        <w:t xml:space="preserve"/>
      </w:r>
    </w:p>
    <w:p>
      <w:pPr>
        <w:spacing w:after="120"/>
      </w:pPr>
      <w:r>
        <w:rPr>
          <w:b/>
          <w:rFonts w:ascii="Arial" w:cs="Arial" w:eastAsia="Arial" w:hAnsi="Arial"/>
          <w:sz w:val="20"/>
          <w:szCs w:val="20"/>
        </w:rPr>
        <w:t xml:space="preserve">Study: </w:t>
      </w:r>
      <w:r>
        <w:rPr>
          <w:rFonts w:ascii="Arial" w:cs="Arial" w:eastAsia="Arial" w:hAnsi="Arial"/>
          <w:sz w:val="20"/>
          <w:szCs w:val="20"/>
        </w:rPr>
        <w:t xml:space="preserve">Caught between conscience and culture: Moral negotiation, collective defences and obstetric violence in Saudi maternity care</w:t>
      </w:r>
    </w:p>
    <w:p>
      <w:pPr>
        <w:spacing w:after="200"/>
      </w:pPr>
      <w:r>
        <w:rPr>
          <w:rFonts w:ascii="Arial" w:cs="Arial" w:eastAsia="Arial" w:hAnsi="Arial"/>
          <w:i/>
          <w:iCs/>
          <w:sz w:val="18"/>
          <w:szCs w:val="18"/>
        </w:rPr>
        <w:t xml:space="preserve">Checklist developed by Tong, Sainsbury &amp; Craig (2007), Int J Qual Health Care 19(6):349–357. Section references correspond to the numbered headings in the manuscript Methods, Findings, Tables, and Supplementary File 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100"/>
        <w:gridCol w:w="1500"/>
        <w:gridCol w:w="4350"/>
      </w:tblGrid>
      <w:tr>
        <w:trPr>
          <w:tblHeader/>
        </w:trPr>
        <w:tc>
          <w:tcPr>
            <w:tcW w:type="dxa" w:w="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85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Reported</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435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Description / location in manuscript</w:t>
            </w:r>
          </w:p>
        </w:tc>
      </w:tr>
      <w:tr>
        <w:tc>
          <w:tcPr>
            <w:tcW w:type="dxa" w:w="9360"/>
            <w:gridSpan w:val="5"/>
            <w:tcBorders>
              <w:top w:val="single" w:color="BBBBBB" w:sz="1"/>
              <w:left w:val="single" w:color="BBBBBB" w:sz="1"/>
              <w:bottom w:val="single" w:color="BBBBBB" w:sz="1"/>
              <w:right w:val="single" w:color="BBBBBB"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Domain 1: Research team and reflexivity</w:t>
            </w:r>
          </w:p>
        </w:tc>
      </w:tr>
      <w:tr>
        <w:tc>
          <w:tcPr>
            <w:tcW w:type="dxa" w:w="9360"/>
            <w:gridSpan w:val="5"/>
            <w:tcBorders>
              <w:top w:val="single" w:color="BBBBBB" w:sz="1"/>
              <w:left w:val="single" w:color="BBBBBB" w:sz="1"/>
              <w:bottom w:val="single" w:color="BBBBBB" w:sz="1"/>
              <w:right w:val="single" w:color="BBBBBB" w:sz="1"/>
            </w:tcBorders>
            <w:shd w:fill="DCE6F1" w:val="clear"/>
            <w:tcMar>
              <w:top w:type="dxa" w:w="50"/>
              <w:left w:type="dxa" w:w="120"/>
              <w:bottom w:type="dxa" w:w="50"/>
              <w:right w:type="dxa" w:w="120"/>
            </w:tcMar>
          </w:tcPr>
          <w:p>
            <w:r>
              <w:rPr>
                <w:rFonts w:ascii="Arial" w:cs="Arial" w:eastAsia="Arial" w:hAnsi="Arial"/>
                <w:b/>
                <w:bCs/>
                <w:i/>
                <w:iCs/>
                <w:color w:val="1F4E79"/>
                <w:sz w:val="18"/>
                <w:szCs w:val="18"/>
              </w:rPr>
              <w:t xml:space="preserve">Personal characteristics</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bCs/>
                <w:sz w:val="18"/>
                <w:szCs w:val="18"/>
              </w:rPr>
              <w:t xml:space="preserve">1</w:t>
            </w:r>
          </w:p>
        </w:tc>
        <w:tc>
          <w:tcPr>
            <w:tcW w:type="dxa" w:w="18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Interviewer / facilitator</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Methods 2.5</w:t>
            </w:r>
          </w:p>
        </w:tc>
        <w:tc>
          <w:tcPr>
            <w:tcW w:type="dxa" w:w="43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All individual interviews were conducted by two female researchers: the lead researcher (first author) and a second female co-author.</w:t>
            </w:r>
          </w:p>
        </w:tc>
      </w:tr>
      <w:tr>
        <w:tc>
          <w:tcPr>
            <w:tcW w:type="dxa" w:w="560"/>
            <w:tcBorders>
              <w:top w:val="single" w:color="BBBBBB" w:sz="1"/>
              <w:left w:val="single" w:color="BBBBBB" w:sz="1"/>
              <w:bottom w:val="single" w:color="BBBBBB" w:sz="1"/>
              <w:right w:val="single" w:color="BBBBBB" w:sz="1"/>
            </w:tcBorders>
            <w:shd w:fill="F2F6FB" w:val="clear"/>
            <w:tcMar>
              <w:top w:type="dxa" w:w="60"/>
              <w:left w:type="dxa" w:w="80"/>
              <w:bottom w:type="dxa" w:w="60"/>
              <w:right w:type="dxa" w:w="80"/>
            </w:tcMar>
          </w:tcPr>
          <w:p>
            <w:r>
              <w:rPr>
                <w:rFonts w:ascii="Arial" w:cs="Arial" w:eastAsia="Arial" w:hAnsi="Arial"/>
                <w:b/>
                <w:bCs/>
                <w:sz w:val="18"/>
                <w:szCs w:val="18"/>
              </w:rPr>
              <w:t xml:space="preserve">2</w:t>
            </w:r>
          </w:p>
        </w:tc>
        <w:tc>
          <w:tcPr>
            <w:tcW w:type="dxa" w:w="18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sz w:val="18"/>
                <w:szCs w:val="18"/>
              </w:rPr>
              <w:t xml:space="preserve">Credentials</w:t>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Methods 2.5, 2.9</w:t>
            </w:r>
          </w:p>
        </w:tc>
        <w:tc>
          <w:tcPr>
            <w:tcW w:type="dxa" w:w="43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Lead interviewer: PhD-prepared nurse academic in maternal and child health nursing; second interviewer: female nurse academic co-author.</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bCs/>
                <w:sz w:val="18"/>
                <w:szCs w:val="18"/>
              </w:rPr>
              <w:t xml:space="preserve">3</w:t>
            </w:r>
          </w:p>
        </w:tc>
        <w:tc>
          <w:tcPr>
            <w:tcW w:type="dxa" w:w="18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Occupation</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Methods 2.5, 2.9</w:t>
            </w:r>
          </w:p>
        </w:tc>
        <w:tc>
          <w:tcPr>
            <w:tcW w:type="dxa" w:w="43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Nurse academics with clinical and qualitative research experience; neither held any role at the study hospital.</w:t>
            </w:r>
          </w:p>
        </w:tc>
      </w:tr>
      <w:tr>
        <w:tc>
          <w:tcPr>
            <w:tcW w:type="dxa" w:w="560"/>
            <w:tcBorders>
              <w:top w:val="single" w:color="BBBBBB" w:sz="1"/>
              <w:left w:val="single" w:color="BBBBBB" w:sz="1"/>
              <w:bottom w:val="single" w:color="BBBBBB" w:sz="1"/>
              <w:right w:val="single" w:color="BBBBBB" w:sz="1"/>
            </w:tcBorders>
            <w:shd w:fill="F2F6FB" w:val="clear"/>
            <w:tcMar>
              <w:top w:type="dxa" w:w="60"/>
              <w:left w:type="dxa" w:w="80"/>
              <w:bottom w:type="dxa" w:w="60"/>
              <w:right w:type="dxa" w:w="80"/>
            </w:tcMar>
          </w:tcPr>
          <w:p>
            <w:r>
              <w:rPr>
                <w:rFonts w:ascii="Arial" w:cs="Arial" w:eastAsia="Arial" w:hAnsi="Arial"/>
                <w:b/>
                <w:bCs/>
                <w:sz w:val="18"/>
                <w:szCs w:val="18"/>
              </w:rPr>
              <w:t xml:space="preserve">4</w:t>
            </w:r>
          </w:p>
        </w:tc>
        <w:tc>
          <w:tcPr>
            <w:tcW w:type="dxa" w:w="18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sz w:val="18"/>
                <w:szCs w:val="18"/>
              </w:rPr>
              <w:t xml:space="preserve">Gender</w:t>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Methods 2.9</w:t>
            </w:r>
          </w:p>
        </w:tc>
        <w:tc>
          <w:tcPr>
            <w:tcW w:type="dxa" w:w="43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Both interviewers were women, as were all 18 participants. The six-member team comprised five women and one man; the male co-author had no contact with participants and contributed to design, supervision and analytic review of de-identified data.</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bCs/>
                <w:sz w:val="18"/>
                <w:szCs w:val="18"/>
              </w:rPr>
              <w:t xml:space="preserve">5</w:t>
            </w:r>
          </w:p>
        </w:tc>
        <w:tc>
          <w:tcPr>
            <w:tcW w:type="dxa" w:w="18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Experience and training</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Methods 2.5, 2.9</w:t>
            </w:r>
          </w:p>
        </w:tc>
        <w:tc>
          <w:tcPr>
            <w:tcW w:type="dxa" w:w="43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The lead researcher has expertise in qualitative nursing research; two structured pre-study reflexive discussions surfaced assumptions and power dynamics before data collection.</w:t>
            </w:r>
          </w:p>
        </w:tc>
      </w:tr>
      <w:tr>
        <w:tc>
          <w:tcPr>
            <w:tcW w:type="dxa" w:w="9360"/>
            <w:gridSpan w:val="5"/>
            <w:tcBorders>
              <w:top w:val="single" w:color="BBBBBB" w:sz="1"/>
              <w:left w:val="single" w:color="BBBBBB" w:sz="1"/>
              <w:bottom w:val="single" w:color="BBBBBB" w:sz="1"/>
              <w:right w:val="single" w:color="BBBBBB" w:sz="1"/>
            </w:tcBorders>
            <w:shd w:fill="DCE6F1" w:val="clear"/>
            <w:tcMar>
              <w:top w:type="dxa" w:w="50"/>
              <w:left w:type="dxa" w:w="120"/>
              <w:bottom w:type="dxa" w:w="50"/>
              <w:right w:type="dxa" w:w="120"/>
            </w:tcMar>
          </w:tcPr>
          <w:p>
            <w:r>
              <w:rPr>
                <w:rFonts w:ascii="Arial" w:cs="Arial" w:eastAsia="Arial" w:hAnsi="Arial"/>
                <w:b/>
                <w:bCs/>
                <w:i/>
                <w:iCs/>
                <w:color w:val="1F4E79"/>
                <w:sz w:val="18"/>
                <w:szCs w:val="18"/>
              </w:rPr>
              <w:t xml:space="preserve">Relationship with participants</w:t>
            </w:r>
          </w:p>
        </w:tc>
      </w:tr>
      <w:tr>
        <w:tc>
          <w:tcPr>
            <w:tcW w:type="dxa" w:w="560"/>
            <w:tcBorders>
              <w:top w:val="single" w:color="BBBBBB" w:sz="1"/>
              <w:left w:val="single" w:color="BBBBBB" w:sz="1"/>
              <w:bottom w:val="single" w:color="BBBBBB" w:sz="1"/>
              <w:right w:val="single" w:color="BBBBBB" w:sz="1"/>
            </w:tcBorders>
            <w:shd w:fill="F2F6FB" w:val="clear"/>
            <w:tcMar>
              <w:top w:type="dxa" w:w="60"/>
              <w:left w:type="dxa" w:w="80"/>
              <w:bottom w:type="dxa" w:w="60"/>
              <w:right w:type="dxa" w:w="80"/>
            </w:tcMar>
          </w:tcPr>
          <w:p>
            <w:r>
              <w:rPr>
                <w:rFonts w:ascii="Arial" w:cs="Arial" w:eastAsia="Arial" w:hAnsi="Arial"/>
                <w:b/>
                <w:bCs/>
                <w:sz w:val="18"/>
                <w:szCs w:val="18"/>
              </w:rPr>
              <w:t xml:space="preserve">6</w:t>
            </w:r>
          </w:p>
        </w:tc>
        <w:tc>
          <w:tcPr>
            <w:tcW w:type="dxa" w:w="18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sz w:val="18"/>
                <w:szCs w:val="18"/>
              </w:rPr>
              <w:t xml:space="preserve">Relationship established</w:t>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Methods 2.4, 2.5</w:t>
            </w:r>
          </w:p>
        </w:tc>
        <w:tc>
          <w:tcPr>
            <w:tcW w:type="dxa" w:w="43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No pre-existing supervisory, managerial, or evaluative relationship existed; the interviewer recruited independently of line management, and participants contacted the researcher directly.</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bCs/>
                <w:sz w:val="18"/>
                <w:szCs w:val="18"/>
              </w:rPr>
              <w:t xml:space="preserve">7</w:t>
            </w:r>
          </w:p>
        </w:tc>
        <w:tc>
          <w:tcPr>
            <w:tcW w:type="dxa" w:w="18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Participant knowledge of the interviewer</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Methods 2.4</w:t>
            </w:r>
          </w:p>
        </w:tc>
        <w:tc>
          <w:tcPr>
            <w:tcW w:type="dxa" w:w="43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Participants received a written information sheet at least 48 hours before interview, describing the study aim, voluntary participation, and the researcher’s role; written consent was taken immediately before data collection.</w:t>
            </w:r>
          </w:p>
        </w:tc>
      </w:tr>
      <w:tr>
        <w:tc>
          <w:tcPr>
            <w:tcW w:type="dxa" w:w="560"/>
            <w:tcBorders>
              <w:top w:val="single" w:color="BBBBBB" w:sz="1"/>
              <w:left w:val="single" w:color="BBBBBB" w:sz="1"/>
              <w:bottom w:val="single" w:color="BBBBBB" w:sz="1"/>
              <w:right w:val="single" w:color="BBBBBB" w:sz="1"/>
            </w:tcBorders>
            <w:shd w:fill="F2F6FB" w:val="clear"/>
            <w:tcMar>
              <w:top w:type="dxa" w:w="60"/>
              <w:left w:type="dxa" w:w="80"/>
              <w:bottom w:type="dxa" w:w="60"/>
              <w:right w:type="dxa" w:w="80"/>
            </w:tcMar>
          </w:tcPr>
          <w:p>
            <w:r>
              <w:rPr>
                <w:rFonts w:ascii="Arial" w:cs="Arial" w:eastAsia="Arial" w:hAnsi="Arial"/>
                <w:b/>
                <w:bCs/>
                <w:sz w:val="18"/>
                <w:szCs w:val="18"/>
              </w:rPr>
              <w:t xml:space="preserve">8</w:t>
            </w:r>
          </w:p>
        </w:tc>
        <w:tc>
          <w:tcPr>
            <w:tcW w:type="dxa" w:w="18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sz w:val="18"/>
                <w:szCs w:val="18"/>
              </w:rPr>
              <w:t xml:space="preserve">Interviewer characteristics</w:t>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Methods 2.5, 2.9</w:t>
            </w:r>
          </w:p>
        </w:tc>
        <w:tc>
          <w:tcPr>
            <w:tcW w:type="dxa" w:w="43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Reflexivity and positionality are reported in detail: assumptions, affective responses, professional familiarity, shared gender, academic status and the male co-author's interpretive position were documented in a reflexive journal and reviewed with a peer debriefer.</w:t>
            </w:r>
          </w:p>
        </w:tc>
      </w:tr>
      <w:tr>
        <w:tc>
          <w:tcPr>
            <w:tcW w:type="dxa" w:w="9360"/>
            <w:gridSpan w:val="5"/>
            <w:tcBorders>
              <w:top w:val="single" w:color="BBBBBB" w:sz="1"/>
              <w:left w:val="single" w:color="BBBBBB" w:sz="1"/>
              <w:bottom w:val="single" w:color="BBBBBB" w:sz="1"/>
              <w:right w:val="single" w:color="BBBBBB"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Domain 2: Study design</w:t>
            </w:r>
          </w:p>
        </w:tc>
      </w:tr>
      <w:tr>
        <w:tc>
          <w:tcPr>
            <w:tcW w:type="dxa" w:w="9360"/>
            <w:gridSpan w:val="5"/>
            <w:tcBorders>
              <w:top w:val="single" w:color="BBBBBB" w:sz="1"/>
              <w:left w:val="single" w:color="BBBBBB" w:sz="1"/>
              <w:bottom w:val="single" w:color="BBBBBB" w:sz="1"/>
              <w:right w:val="single" w:color="BBBBBB" w:sz="1"/>
            </w:tcBorders>
            <w:shd w:fill="DCE6F1" w:val="clear"/>
            <w:tcMar>
              <w:top w:type="dxa" w:w="50"/>
              <w:left w:type="dxa" w:w="120"/>
              <w:bottom w:type="dxa" w:w="50"/>
              <w:right w:type="dxa" w:w="120"/>
            </w:tcMar>
          </w:tcPr>
          <w:p>
            <w:r>
              <w:rPr>
                <w:rFonts w:ascii="Arial" w:cs="Arial" w:eastAsia="Arial" w:hAnsi="Arial"/>
                <w:b/>
                <w:bCs/>
                <w:i/>
                <w:iCs/>
                <w:color w:val="1F4E79"/>
                <w:sz w:val="18"/>
                <w:szCs w:val="18"/>
              </w:rPr>
              <w:t xml:space="preserve">Theoretical framework</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bCs/>
                <w:sz w:val="18"/>
                <w:szCs w:val="18"/>
              </w:rPr>
              <w:t xml:space="preserve">9</w:t>
            </w:r>
          </w:p>
        </w:tc>
        <w:tc>
          <w:tcPr>
            <w:tcW w:type="dxa" w:w="18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Methodological orientation and theory</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Introduction; Methods 2.1, 2.7</w:t>
            </w:r>
          </w:p>
        </w:tc>
        <w:tc>
          <w:tcPr>
            <w:tcW w:type="dxa" w:w="43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Qualitative interpretive description within a constructivist–interpretivist epistemology; Braun and Clarke's reflexive thematic analysis sensitised by moral distress, moral residue and the crescendo effect. The psychodynamics of work and invisible loyalties were applied at the interpretive stage, after themes were developed.</w:t>
            </w:r>
          </w:p>
        </w:tc>
      </w:tr>
      <w:tr>
        <w:tc>
          <w:tcPr>
            <w:tcW w:type="dxa" w:w="9360"/>
            <w:gridSpan w:val="5"/>
            <w:tcBorders>
              <w:top w:val="single" w:color="BBBBBB" w:sz="1"/>
              <w:left w:val="single" w:color="BBBBBB" w:sz="1"/>
              <w:bottom w:val="single" w:color="BBBBBB" w:sz="1"/>
              <w:right w:val="single" w:color="BBBBBB" w:sz="1"/>
            </w:tcBorders>
            <w:shd w:fill="DCE6F1" w:val="clear"/>
            <w:tcMar>
              <w:top w:type="dxa" w:w="50"/>
              <w:left w:type="dxa" w:w="120"/>
              <w:bottom w:type="dxa" w:w="50"/>
              <w:right w:type="dxa" w:w="120"/>
            </w:tcMar>
          </w:tcPr>
          <w:p>
            <w:r>
              <w:rPr>
                <w:rFonts w:ascii="Arial" w:cs="Arial" w:eastAsia="Arial" w:hAnsi="Arial"/>
                <w:b/>
                <w:bCs/>
                <w:i/>
                <w:iCs/>
                <w:color w:val="1F4E79"/>
                <w:sz w:val="18"/>
                <w:szCs w:val="18"/>
              </w:rPr>
              <w:t xml:space="preserve">Participant selection</w:t>
            </w:r>
          </w:p>
        </w:tc>
      </w:tr>
      <w:tr>
        <w:tc>
          <w:tcPr>
            <w:tcW w:type="dxa" w:w="560"/>
            <w:tcBorders>
              <w:top w:val="single" w:color="BBBBBB" w:sz="1"/>
              <w:left w:val="single" w:color="BBBBBB" w:sz="1"/>
              <w:bottom w:val="single" w:color="BBBBBB" w:sz="1"/>
              <w:right w:val="single" w:color="BBBBBB" w:sz="1"/>
            </w:tcBorders>
            <w:shd w:fill="F2F6FB" w:val="clear"/>
            <w:tcMar>
              <w:top w:type="dxa" w:w="60"/>
              <w:left w:type="dxa" w:w="80"/>
              <w:bottom w:type="dxa" w:w="60"/>
              <w:right w:type="dxa" w:w="80"/>
            </w:tcMar>
          </w:tcPr>
          <w:p>
            <w:r>
              <w:rPr>
                <w:rFonts w:ascii="Arial" w:cs="Arial" w:eastAsia="Arial" w:hAnsi="Arial"/>
                <w:b/>
                <w:bCs/>
                <w:sz w:val="18"/>
                <w:szCs w:val="18"/>
              </w:rPr>
              <w:t xml:space="preserve">10</w:t>
            </w:r>
          </w:p>
        </w:tc>
        <w:tc>
          <w:tcPr>
            <w:tcW w:type="dxa" w:w="18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sz w:val="18"/>
                <w:szCs w:val="18"/>
              </w:rPr>
              <w:t xml:space="preserve">Sampling</w:t>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Methods 2.3</w:t>
            </w:r>
          </w:p>
        </w:tc>
        <w:tc>
          <w:tcPr>
            <w:tcW w:type="dxa" w:w="43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Purposive maximum-variation sampling across professional role, experience, nationality and clinical unit.</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bCs/>
                <w:sz w:val="18"/>
                <w:szCs w:val="18"/>
              </w:rPr>
              <w:t xml:space="preserve">11</w:t>
            </w:r>
          </w:p>
        </w:tc>
        <w:tc>
          <w:tcPr>
            <w:tcW w:type="dxa" w:w="18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Method of approach</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Methods 2.4</w:t>
            </w:r>
          </w:p>
        </w:tc>
        <w:tc>
          <w:tcPr>
            <w:tcW w:type="dxa" w:w="43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Study information was distributed via hospital nursing leadership, but interested staff contacted the lead researcher directly, reducing the influence of line management on participation.</w:t>
            </w:r>
          </w:p>
        </w:tc>
      </w:tr>
      <w:tr>
        <w:tc>
          <w:tcPr>
            <w:tcW w:type="dxa" w:w="560"/>
            <w:tcBorders>
              <w:top w:val="single" w:color="BBBBBB" w:sz="1"/>
              <w:left w:val="single" w:color="BBBBBB" w:sz="1"/>
              <w:bottom w:val="single" w:color="BBBBBB" w:sz="1"/>
              <w:right w:val="single" w:color="BBBBBB" w:sz="1"/>
            </w:tcBorders>
            <w:shd w:fill="F2F6FB" w:val="clear"/>
            <w:tcMar>
              <w:top w:type="dxa" w:w="60"/>
              <w:left w:type="dxa" w:w="80"/>
              <w:bottom w:type="dxa" w:w="60"/>
              <w:right w:type="dxa" w:w="80"/>
            </w:tcMar>
          </w:tcPr>
          <w:p>
            <w:r>
              <w:rPr>
                <w:rFonts w:ascii="Arial" w:cs="Arial" w:eastAsia="Arial" w:hAnsi="Arial"/>
                <w:b/>
                <w:bCs/>
                <w:sz w:val="18"/>
                <w:szCs w:val="18"/>
              </w:rPr>
              <w:t xml:space="preserve">12</w:t>
            </w:r>
          </w:p>
        </w:tc>
        <w:tc>
          <w:tcPr>
            <w:tcW w:type="dxa" w:w="18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sz w:val="18"/>
                <w:szCs w:val="18"/>
              </w:rPr>
              <w:t xml:space="preserve">Sample size</w:t>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Methods 2.3; Findings 3.1</w:t>
            </w:r>
          </w:p>
        </w:tc>
        <w:tc>
          <w:tcPr>
            <w:tcW w:type="dxa" w:w="43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Eighteen (n = 18) female registered nurses and midwives.</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bCs/>
                <w:sz w:val="18"/>
                <w:szCs w:val="18"/>
              </w:rPr>
              <w:t xml:space="preserve">13</w:t>
            </w:r>
          </w:p>
        </w:tc>
        <w:tc>
          <w:tcPr>
            <w:tcW w:type="dxa" w:w="18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Non-participation</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Partially</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Methods 2.3, 2.10</w:t>
            </w:r>
          </w:p>
        </w:tc>
        <w:tc>
          <w:tcPr>
            <w:tcW w:type="dxa" w:w="43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No participant discontinued an interview or withdrew. The number of eligible staff who did not volunteer was not recorded; a small, unrecorded number of later volunteers were not interviewed once variation and information-power needs were met.</w:t>
            </w:r>
          </w:p>
        </w:tc>
      </w:tr>
      <w:tr>
        <w:tc>
          <w:tcPr>
            <w:tcW w:type="dxa" w:w="9360"/>
            <w:gridSpan w:val="5"/>
            <w:tcBorders>
              <w:top w:val="single" w:color="BBBBBB" w:sz="1"/>
              <w:left w:val="single" w:color="BBBBBB" w:sz="1"/>
              <w:bottom w:val="single" w:color="BBBBBB" w:sz="1"/>
              <w:right w:val="single" w:color="BBBBBB" w:sz="1"/>
            </w:tcBorders>
            <w:shd w:fill="DCE6F1" w:val="clear"/>
            <w:tcMar>
              <w:top w:type="dxa" w:w="50"/>
              <w:left w:type="dxa" w:w="120"/>
              <w:bottom w:type="dxa" w:w="50"/>
              <w:right w:type="dxa" w:w="120"/>
            </w:tcMar>
          </w:tcPr>
          <w:p>
            <w:r>
              <w:rPr>
                <w:rFonts w:ascii="Arial" w:cs="Arial" w:eastAsia="Arial" w:hAnsi="Arial"/>
                <w:b/>
                <w:bCs/>
                <w:i/>
                <w:iCs/>
                <w:color w:val="1F4E79"/>
                <w:sz w:val="18"/>
                <w:szCs w:val="18"/>
              </w:rPr>
              <w:t xml:space="preserve">Setting</w:t>
            </w:r>
          </w:p>
        </w:tc>
      </w:tr>
      <w:tr>
        <w:tc>
          <w:tcPr>
            <w:tcW w:type="dxa" w:w="560"/>
            <w:tcBorders>
              <w:top w:val="single" w:color="BBBBBB" w:sz="1"/>
              <w:left w:val="single" w:color="BBBBBB" w:sz="1"/>
              <w:bottom w:val="single" w:color="BBBBBB" w:sz="1"/>
              <w:right w:val="single" w:color="BBBBBB" w:sz="1"/>
            </w:tcBorders>
            <w:shd w:fill="F2F6FB" w:val="clear"/>
            <w:tcMar>
              <w:top w:type="dxa" w:w="60"/>
              <w:left w:type="dxa" w:w="80"/>
              <w:bottom w:type="dxa" w:w="60"/>
              <w:right w:type="dxa" w:w="80"/>
            </w:tcMar>
          </w:tcPr>
          <w:p>
            <w:r>
              <w:rPr>
                <w:rFonts w:ascii="Arial" w:cs="Arial" w:eastAsia="Arial" w:hAnsi="Arial"/>
                <w:b/>
                <w:bCs/>
                <w:sz w:val="18"/>
                <w:szCs w:val="18"/>
              </w:rPr>
              <w:t xml:space="preserve">14</w:t>
            </w:r>
          </w:p>
        </w:tc>
        <w:tc>
          <w:tcPr>
            <w:tcW w:type="dxa" w:w="18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sz w:val="18"/>
                <w:szCs w:val="18"/>
              </w:rPr>
              <w:t xml:space="preserve">Setting of data collection</w:t>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Methods 2.2, 2.5</w:t>
            </w:r>
          </w:p>
        </w:tc>
        <w:tc>
          <w:tcPr>
            <w:tcW w:type="dxa" w:w="43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A private, non-clinical room within a tertiary maternity referral hospital in central Saudi Arabia.</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bCs/>
                <w:sz w:val="18"/>
                <w:szCs w:val="18"/>
              </w:rPr>
              <w:t xml:space="preserve">15</w:t>
            </w:r>
          </w:p>
        </w:tc>
        <w:tc>
          <w:tcPr>
            <w:tcW w:type="dxa" w:w="18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Presence of non-participants</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Methods 2.5</w:t>
            </w:r>
          </w:p>
        </w:tc>
        <w:tc>
          <w:tcPr>
            <w:tcW w:type="dxa" w:w="43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Interviews were individual and conducted privately; no third parties were present.</w:t>
            </w:r>
          </w:p>
        </w:tc>
      </w:tr>
      <w:tr>
        <w:tc>
          <w:tcPr>
            <w:tcW w:type="dxa" w:w="560"/>
            <w:tcBorders>
              <w:top w:val="single" w:color="BBBBBB" w:sz="1"/>
              <w:left w:val="single" w:color="BBBBBB" w:sz="1"/>
              <w:bottom w:val="single" w:color="BBBBBB" w:sz="1"/>
              <w:right w:val="single" w:color="BBBBBB" w:sz="1"/>
            </w:tcBorders>
            <w:shd w:fill="F2F6FB" w:val="clear"/>
            <w:tcMar>
              <w:top w:type="dxa" w:w="60"/>
              <w:left w:type="dxa" w:w="80"/>
              <w:bottom w:type="dxa" w:w="60"/>
              <w:right w:type="dxa" w:w="80"/>
            </w:tcMar>
          </w:tcPr>
          <w:p>
            <w:r>
              <w:rPr>
                <w:rFonts w:ascii="Arial" w:cs="Arial" w:eastAsia="Arial" w:hAnsi="Arial"/>
                <w:b/>
                <w:bCs/>
                <w:sz w:val="18"/>
                <w:szCs w:val="18"/>
              </w:rPr>
              <w:t xml:space="preserve">16</w:t>
            </w:r>
          </w:p>
        </w:tc>
        <w:tc>
          <w:tcPr>
            <w:tcW w:type="dxa" w:w="18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sz w:val="18"/>
                <w:szCs w:val="18"/>
              </w:rPr>
              <w:t xml:space="preserve">Description of sample</w:t>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Findings 3.1; Table 1</w:t>
            </w:r>
          </w:p>
        </w:tc>
        <w:tc>
          <w:tcPr>
            <w:tcW w:type="dxa" w:w="43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Aggregate demographic and professional characteristics (age, experience, role, unit, nationality mix, interview language) are reported in Table 1; individual profiles were withheld to protect anonymity in a single-site study.</w:t>
            </w:r>
          </w:p>
        </w:tc>
      </w:tr>
      <w:tr>
        <w:tc>
          <w:tcPr>
            <w:tcW w:type="dxa" w:w="9360"/>
            <w:gridSpan w:val="5"/>
            <w:tcBorders>
              <w:top w:val="single" w:color="BBBBBB" w:sz="1"/>
              <w:left w:val="single" w:color="BBBBBB" w:sz="1"/>
              <w:bottom w:val="single" w:color="BBBBBB" w:sz="1"/>
              <w:right w:val="single" w:color="BBBBBB" w:sz="1"/>
            </w:tcBorders>
            <w:shd w:fill="DCE6F1" w:val="clear"/>
            <w:tcMar>
              <w:top w:type="dxa" w:w="50"/>
              <w:left w:type="dxa" w:w="120"/>
              <w:bottom w:type="dxa" w:w="50"/>
              <w:right w:type="dxa" w:w="120"/>
            </w:tcMar>
          </w:tcPr>
          <w:p>
            <w:r>
              <w:rPr>
                <w:rFonts w:ascii="Arial" w:cs="Arial" w:eastAsia="Arial" w:hAnsi="Arial"/>
                <w:b/>
                <w:bCs/>
                <w:i/>
                <w:iCs/>
                <w:color w:val="1F4E79"/>
                <w:sz w:val="18"/>
                <w:szCs w:val="18"/>
              </w:rPr>
              <w:t xml:space="preserve">Data collection</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bCs/>
                <w:sz w:val="18"/>
                <w:szCs w:val="18"/>
              </w:rPr>
              <w:t xml:space="preserve">17</w:t>
            </w:r>
          </w:p>
        </w:tc>
        <w:tc>
          <w:tcPr>
            <w:tcW w:type="dxa" w:w="18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Interview guide</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Methods 2.5; Supplementary File S1</w:t>
            </w:r>
          </w:p>
        </w:tc>
        <w:tc>
          <w:tcPr>
            <w:tcW w:type="dxa" w:w="43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 bilingual (English/Arabic) semi-structured guide was used, reviewed by two senior nurse researchers and pilot-tested with two maternity nurses excluded from the final sample. The full guide is provided in Supplementary File S1.</w:t>
            </w:r>
          </w:p>
        </w:tc>
      </w:tr>
      <w:tr>
        <w:tc>
          <w:tcPr>
            <w:tcW w:type="dxa" w:w="560"/>
            <w:tcBorders>
              <w:top w:val="single" w:color="BBBBBB" w:sz="1"/>
              <w:left w:val="single" w:color="BBBBBB" w:sz="1"/>
              <w:bottom w:val="single" w:color="BBBBBB" w:sz="1"/>
              <w:right w:val="single" w:color="BBBBBB" w:sz="1"/>
            </w:tcBorders>
            <w:shd w:fill="F2F6FB" w:val="clear"/>
            <w:tcMar>
              <w:top w:type="dxa" w:w="60"/>
              <w:left w:type="dxa" w:w="80"/>
              <w:bottom w:type="dxa" w:w="60"/>
              <w:right w:type="dxa" w:w="80"/>
            </w:tcMar>
          </w:tcPr>
          <w:p>
            <w:r>
              <w:rPr>
                <w:rFonts w:ascii="Arial" w:cs="Arial" w:eastAsia="Arial" w:hAnsi="Arial"/>
                <w:b/>
                <w:bCs/>
                <w:sz w:val="18"/>
                <w:szCs w:val="18"/>
              </w:rPr>
              <w:t xml:space="preserve">18</w:t>
            </w:r>
          </w:p>
        </w:tc>
        <w:tc>
          <w:tcPr>
            <w:tcW w:type="dxa" w:w="18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sz w:val="18"/>
                <w:szCs w:val="18"/>
              </w:rPr>
              <w:t xml:space="preserve">Repeat interviews</w:t>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color w:val="8A8A8A"/>
                <w:sz w:val="18"/>
                <w:szCs w:val="18"/>
              </w:rPr>
              <w:t xml:space="preserve">No</w:t>
            </w:r>
          </w:p>
        </w:tc>
        <w:tc>
          <w:tcPr>
            <w:tcW w:type="dxa" w:w="15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Methods 2.5</w:t>
            </w:r>
          </w:p>
        </w:tc>
        <w:tc>
          <w:tcPr>
            <w:tcW w:type="dxa" w:w="43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Repeat interviews were not conducted; each participant was interviewed once.</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bCs/>
                <w:sz w:val="18"/>
                <w:szCs w:val="18"/>
              </w:rPr>
              <w:t xml:space="preserve">19</w:t>
            </w:r>
          </w:p>
        </w:tc>
        <w:tc>
          <w:tcPr>
            <w:tcW w:type="dxa" w:w="18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Audio / visual recording</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Methods 2.5</w:t>
            </w:r>
          </w:p>
        </w:tc>
        <w:tc>
          <w:tcPr>
            <w:tcW w:type="dxa" w:w="43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Interviews were audio-recorded with participants’ consent and transcribed verbatim.</w:t>
            </w:r>
          </w:p>
        </w:tc>
      </w:tr>
      <w:tr>
        <w:tc>
          <w:tcPr>
            <w:tcW w:type="dxa" w:w="560"/>
            <w:tcBorders>
              <w:top w:val="single" w:color="BBBBBB" w:sz="1"/>
              <w:left w:val="single" w:color="BBBBBB" w:sz="1"/>
              <w:bottom w:val="single" w:color="BBBBBB" w:sz="1"/>
              <w:right w:val="single" w:color="BBBBBB" w:sz="1"/>
            </w:tcBorders>
            <w:shd w:fill="F2F6FB" w:val="clear"/>
            <w:tcMar>
              <w:top w:type="dxa" w:w="60"/>
              <w:left w:type="dxa" w:w="80"/>
              <w:bottom w:type="dxa" w:w="60"/>
              <w:right w:type="dxa" w:w="80"/>
            </w:tcMar>
          </w:tcPr>
          <w:p>
            <w:r>
              <w:rPr>
                <w:rFonts w:ascii="Arial" w:cs="Arial" w:eastAsia="Arial" w:hAnsi="Arial"/>
                <w:b/>
                <w:bCs/>
                <w:sz w:val="18"/>
                <w:szCs w:val="18"/>
              </w:rPr>
              <w:t xml:space="preserve">20</w:t>
            </w:r>
          </w:p>
        </w:tc>
        <w:tc>
          <w:tcPr>
            <w:tcW w:type="dxa" w:w="18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sz w:val="18"/>
                <w:szCs w:val="18"/>
              </w:rPr>
              <w:t xml:space="preserve">Field notes</w:t>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Methods 2.5</w:t>
            </w:r>
          </w:p>
        </w:tc>
        <w:tc>
          <w:tcPr>
            <w:tcW w:type="dxa" w:w="43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Field notes were written within one hour of each interview, and reflexive memos were maintained throughout data collection.</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bCs/>
                <w:sz w:val="18"/>
                <w:szCs w:val="18"/>
              </w:rPr>
              <w:t xml:space="preserve">21</w:t>
            </w:r>
          </w:p>
        </w:tc>
        <w:tc>
          <w:tcPr>
            <w:tcW w:type="dxa" w:w="18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Duration</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Methods 2.5</w:t>
            </w:r>
          </w:p>
        </w:tc>
        <w:tc>
          <w:tcPr>
            <w:tcW w:type="dxa" w:w="43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Interviews lasted 42–74 minutes (mean 54 minutes).</w:t>
            </w:r>
          </w:p>
        </w:tc>
      </w:tr>
      <w:tr>
        <w:tc>
          <w:tcPr>
            <w:tcW w:type="dxa" w:w="560"/>
            <w:tcBorders>
              <w:top w:val="single" w:color="BBBBBB" w:sz="1"/>
              <w:left w:val="single" w:color="BBBBBB" w:sz="1"/>
              <w:bottom w:val="single" w:color="BBBBBB" w:sz="1"/>
              <w:right w:val="single" w:color="BBBBBB" w:sz="1"/>
            </w:tcBorders>
            <w:shd w:fill="F2F6FB" w:val="clear"/>
            <w:tcMar>
              <w:top w:type="dxa" w:w="60"/>
              <w:left w:type="dxa" w:w="80"/>
              <w:bottom w:type="dxa" w:w="60"/>
              <w:right w:type="dxa" w:w="80"/>
            </w:tcMar>
          </w:tcPr>
          <w:p>
            <w:r>
              <w:rPr>
                <w:rFonts w:ascii="Arial" w:cs="Arial" w:eastAsia="Arial" w:hAnsi="Arial"/>
                <w:b/>
                <w:bCs/>
                <w:sz w:val="18"/>
                <w:szCs w:val="18"/>
              </w:rPr>
              <w:t xml:space="preserve">22</w:t>
            </w:r>
          </w:p>
        </w:tc>
        <w:tc>
          <w:tcPr>
            <w:tcW w:type="dxa" w:w="18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sz w:val="18"/>
                <w:szCs w:val="18"/>
              </w:rPr>
              <w:t xml:space="preserve">Data saturation</w:t>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Methods 2.3</w:t>
            </w:r>
          </w:p>
        </w:tc>
        <w:tc>
          <w:tcPr>
            <w:tcW w:type="dxa" w:w="43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Sample adequacy was assessed using Malterud et al.'s information power framework; from interview 12 the team reviewed conceptual yield, and interviews 15–18 principally refined existing interpretations. Saturation was not claimed.</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bCs/>
                <w:sz w:val="18"/>
                <w:szCs w:val="18"/>
              </w:rPr>
              <w:t xml:space="preserve">23</w:t>
            </w:r>
          </w:p>
        </w:tc>
        <w:tc>
          <w:tcPr>
            <w:tcW w:type="dxa" w:w="18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Transcripts returned</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Partially</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Methods 2.6, 2.8</w:t>
            </w:r>
          </w:p>
        </w:tc>
        <w:tc>
          <w:tcPr>
            <w:tcW w:type="dxa" w:w="43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Verbatim transcripts were not returned to participants; however, a purposive subsample of six participants reviewed summary interpretations (member reflection) to confirm, clarify, or challenge the emerging analysis.</w:t>
            </w:r>
          </w:p>
        </w:tc>
      </w:tr>
      <w:tr>
        <w:tc>
          <w:tcPr>
            <w:tcW w:type="dxa" w:w="9360"/>
            <w:gridSpan w:val="5"/>
            <w:tcBorders>
              <w:top w:val="single" w:color="BBBBBB" w:sz="1"/>
              <w:left w:val="single" w:color="BBBBBB" w:sz="1"/>
              <w:bottom w:val="single" w:color="BBBBBB" w:sz="1"/>
              <w:right w:val="single" w:color="BBBBBB"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Domain 3: Analysis and findings</w:t>
            </w:r>
          </w:p>
        </w:tc>
      </w:tr>
      <w:tr>
        <w:tc>
          <w:tcPr>
            <w:tcW w:type="dxa" w:w="9360"/>
            <w:gridSpan w:val="5"/>
            <w:tcBorders>
              <w:top w:val="single" w:color="BBBBBB" w:sz="1"/>
              <w:left w:val="single" w:color="BBBBBB" w:sz="1"/>
              <w:bottom w:val="single" w:color="BBBBBB" w:sz="1"/>
              <w:right w:val="single" w:color="BBBBBB" w:sz="1"/>
            </w:tcBorders>
            <w:shd w:fill="DCE6F1" w:val="clear"/>
            <w:tcMar>
              <w:top w:type="dxa" w:w="50"/>
              <w:left w:type="dxa" w:w="120"/>
              <w:bottom w:type="dxa" w:w="50"/>
              <w:right w:type="dxa" w:w="120"/>
            </w:tcMar>
          </w:tcPr>
          <w:p>
            <w:r>
              <w:rPr>
                <w:rFonts w:ascii="Arial" w:cs="Arial" w:eastAsia="Arial" w:hAnsi="Arial"/>
                <w:b/>
                <w:bCs/>
                <w:i/>
                <w:iCs/>
                <w:color w:val="1F4E79"/>
                <w:sz w:val="18"/>
                <w:szCs w:val="18"/>
              </w:rPr>
              <w:t xml:space="preserve">Data analysis</w:t>
            </w:r>
          </w:p>
        </w:tc>
      </w:tr>
      <w:tr>
        <w:tc>
          <w:tcPr>
            <w:tcW w:type="dxa" w:w="560"/>
            <w:tcBorders>
              <w:top w:val="single" w:color="BBBBBB" w:sz="1"/>
              <w:left w:val="single" w:color="BBBBBB" w:sz="1"/>
              <w:bottom w:val="single" w:color="BBBBBB" w:sz="1"/>
              <w:right w:val="single" w:color="BBBBBB" w:sz="1"/>
            </w:tcBorders>
            <w:shd w:fill="F2F6FB" w:val="clear"/>
            <w:tcMar>
              <w:top w:type="dxa" w:w="60"/>
              <w:left w:type="dxa" w:w="80"/>
              <w:bottom w:type="dxa" w:w="60"/>
              <w:right w:type="dxa" w:w="80"/>
            </w:tcMar>
          </w:tcPr>
          <w:p>
            <w:r>
              <w:rPr>
                <w:rFonts w:ascii="Arial" w:cs="Arial" w:eastAsia="Arial" w:hAnsi="Arial"/>
                <w:b/>
                <w:bCs/>
                <w:sz w:val="18"/>
                <w:szCs w:val="18"/>
              </w:rPr>
              <w:t xml:space="preserve">24</w:t>
            </w:r>
          </w:p>
        </w:tc>
        <w:tc>
          <w:tcPr>
            <w:tcW w:type="dxa" w:w="18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sz w:val="18"/>
                <w:szCs w:val="18"/>
              </w:rPr>
              <w:t xml:space="preserve">Number of data coders</w:t>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Methods 2.7, 2.8</w:t>
            </w:r>
          </w:p>
        </w:tc>
        <w:tc>
          <w:tcPr>
            <w:tcW w:type="dxa" w:w="43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The lead researcher coded the full dataset; a second researcher independently reviewed a 20% subset and raised alternative interpretations for team discussion. Interpretive challenge, not inter-coder reliability, was the goal.</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bCs/>
                <w:sz w:val="18"/>
                <w:szCs w:val="18"/>
              </w:rPr>
              <w:t xml:space="preserve">25</w:t>
            </w:r>
          </w:p>
        </w:tc>
        <w:tc>
          <w:tcPr>
            <w:tcW w:type="dxa" w:w="18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Description of the coding tree</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Methods 2.7, 2.8; Findings Table 2</w:t>
            </w:r>
          </w:p>
        </w:tc>
        <w:tc>
          <w:tcPr>
            <w:tcW w:type="dxa" w:w="43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An evolving codebook and decision log formed part of the audit trail; the resulting thematic structure (themes and subthemes) is presented in Table 2.</w:t>
            </w:r>
          </w:p>
        </w:tc>
      </w:tr>
      <w:tr>
        <w:tc>
          <w:tcPr>
            <w:tcW w:type="dxa" w:w="560"/>
            <w:tcBorders>
              <w:top w:val="single" w:color="BBBBBB" w:sz="1"/>
              <w:left w:val="single" w:color="BBBBBB" w:sz="1"/>
              <w:bottom w:val="single" w:color="BBBBBB" w:sz="1"/>
              <w:right w:val="single" w:color="BBBBBB" w:sz="1"/>
            </w:tcBorders>
            <w:shd w:fill="F2F6FB" w:val="clear"/>
            <w:tcMar>
              <w:top w:type="dxa" w:w="60"/>
              <w:left w:type="dxa" w:w="80"/>
              <w:bottom w:type="dxa" w:w="60"/>
              <w:right w:type="dxa" w:w="80"/>
            </w:tcMar>
          </w:tcPr>
          <w:p>
            <w:r>
              <w:rPr>
                <w:rFonts w:ascii="Arial" w:cs="Arial" w:eastAsia="Arial" w:hAnsi="Arial"/>
                <w:b/>
                <w:bCs/>
                <w:sz w:val="18"/>
                <w:szCs w:val="18"/>
              </w:rPr>
              <w:t xml:space="preserve">26</w:t>
            </w:r>
          </w:p>
        </w:tc>
        <w:tc>
          <w:tcPr>
            <w:tcW w:type="dxa" w:w="18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sz w:val="18"/>
                <w:szCs w:val="18"/>
              </w:rPr>
              <w:t xml:space="preserve">Derivation of themes</w:t>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Methods 2.1, 2.7</w:t>
            </w:r>
          </w:p>
        </w:tc>
        <w:tc>
          <w:tcPr>
            <w:tcW w:type="dxa" w:w="43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Themes were developed from the data while sensitised to the theoretical constructs; codes and themes were not predetermined. Rival individual, collective and structural/cultural interpretations were tested for each theme.</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bCs/>
                <w:sz w:val="18"/>
                <w:szCs w:val="18"/>
              </w:rPr>
              <w:t xml:space="preserve">27</w:t>
            </w:r>
          </w:p>
        </w:tc>
        <w:tc>
          <w:tcPr>
            <w:tcW w:type="dxa" w:w="18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Software</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Methods 2.7</w:t>
            </w:r>
          </w:p>
        </w:tc>
        <w:tc>
          <w:tcPr>
            <w:tcW w:type="dxa" w:w="43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NVivo 14 was used exclusively for data organisation and retrieval; all coding and analytic decisions were made by the research team.</w:t>
            </w:r>
          </w:p>
        </w:tc>
      </w:tr>
      <w:tr>
        <w:tc>
          <w:tcPr>
            <w:tcW w:type="dxa" w:w="560"/>
            <w:tcBorders>
              <w:top w:val="single" w:color="BBBBBB" w:sz="1"/>
              <w:left w:val="single" w:color="BBBBBB" w:sz="1"/>
              <w:bottom w:val="single" w:color="BBBBBB" w:sz="1"/>
              <w:right w:val="single" w:color="BBBBBB" w:sz="1"/>
            </w:tcBorders>
            <w:shd w:fill="F2F6FB" w:val="clear"/>
            <w:tcMar>
              <w:top w:type="dxa" w:w="60"/>
              <w:left w:type="dxa" w:w="80"/>
              <w:bottom w:type="dxa" w:w="60"/>
              <w:right w:type="dxa" w:w="80"/>
            </w:tcMar>
          </w:tcPr>
          <w:p>
            <w:r>
              <w:rPr>
                <w:rFonts w:ascii="Arial" w:cs="Arial" w:eastAsia="Arial" w:hAnsi="Arial"/>
                <w:b/>
                <w:bCs/>
                <w:sz w:val="18"/>
                <w:szCs w:val="18"/>
              </w:rPr>
              <w:t xml:space="preserve">28</w:t>
            </w:r>
          </w:p>
        </w:tc>
        <w:tc>
          <w:tcPr>
            <w:tcW w:type="dxa" w:w="18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sz w:val="18"/>
                <w:szCs w:val="18"/>
              </w:rPr>
              <w:t xml:space="preserve">Participant checking</w:t>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Methods 2.8</w:t>
            </w:r>
          </w:p>
        </w:tc>
        <w:tc>
          <w:tcPr>
            <w:tcW w:type="dxa" w:w="43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Member reflection was undertaken: six participants (varied by role, experience, and cultural background) reviewed summary interpretations, and their feedback refined the analysis.</w:t>
            </w:r>
          </w:p>
        </w:tc>
      </w:tr>
      <w:tr>
        <w:tc>
          <w:tcPr>
            <w:tcW w:type="dxa" w:w="9360"/>
            <w:gridSpan w:val="5"/>
            <w:tcBorders>
              <w:top w:val="single" w:color="BBBBBB" w:sz="1"/>
              <w:left w:val="single" w:color="BBBBBB" w:sz="1"/>
              <w:bottom w:val="single" w:color="BBBBBB" w:sz="1"/>
              <w:right w:val="single" w:color="BBBBBB" w:sz="1"/>
            </w:tcBorders>
            <w:shd w:fill="DCE6F1" w:val="clear"/>
            <w:tcMar>
              <w:top w:type="dxa" w:w="50"/>
              <w:left w:type="dxa" w:w="120"/>
              <w:bottom w:type="dxa" w:w="50"/>
              <w:right w:type="dxa" w:w="120"/>
            </w:tcMar>
          </w:tcPr>
          <w:p>
            <w:r>
              <w:rPr>
                <w:rFonts w:ascii="Arial" w:cs="Arial" w:eastAsia="Arial" w:hAnsi="Arial"/>
                <w:b/>
                <w:bCs/>
                <w:i/>
                <w:iCs/>
                <w:color w:val="1F4E79"/>
                <w:sz w:val="18"/>
                <w:szCs w:val="18"/>
              </w:rPr>
              <w:t xml:space="preserve">Reporting</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bCs/>
                <w:sz w:val="18"/>
                <w:szCs w:val="18"/>
              </w:rPr>
              <w:t xml:space="preserve">29</w:t>
            </w:r>
          </w:p>
        </w:tc>
        <w:tc>
          <w:tcPr>
            <w:tcW w:type="dxa" w:w="18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Quotations presented</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Findings 3.2</w:t>
            </w:r>
          </w:p>
        </w:tc>
        <w:tc>
          <w:tcPr>
            <w:tcW w:type="dxa" w:w="43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Verbatim quotations illustrate each theme and subtheme and are identified by anonymised participant codes (P1–P18).</w:t>
            </w:r>
          </w:p>
        </w:tc>
      </w:tr>
      <w:tr>
        <w:tc>
          <w:tcPr>
            <w:tcW w:type="dxa" w:w="560"/>
            <w:tcBorders>
              <w:top w:val="single" w:color="BBBBBB" w:sz="1"/>
              <w:left w:val="single" w:color="BBBBBB" w:sz="1"/>
              <w:bottom w:val="single" w:color="BBBBBB" w:sz="1"/>
              <w:right w:val="single" w:color="BBBBBB" w:sz="1"/>
            </w:tcBorders>
            <w:shd w:fill="F2F6FB" w:val="clear"/>
            <w:tcMar>
              <w:top w:type="dxa" w:w="60"/>
              <w:left w:type="dxa" w:w="80"/>
              <w:bottom w:type="dxa" w:w="60"/>
              <w:right w:type="dxa" w:w="80"/>
            </w:tcMar>
          </w:tcPr>
          <w:p>
            <w:r>
              <w:rPr>
                <w:rFonts w:ascii="Arial" w:cs="Arial" w:eastAsia="Arial" w:hAnsi="Arial"/>
                <w:b/>
                <w:bCs/>
                <w:sz w:val="18"/>
                <w:szCs w:val="18"/>
              </w:rPr>
              <w:t xml:space="preserve">30</w:t>
            </w:r>
          </w:p>
        </w:tc>
        <w:tc>
          <w:tcPr>
            <w:tcW w:type="dxa" w:w="18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sz w:val="18"/>
                <w:szCs w:val="18"/>
              </w:rPr>
              <w:t xml:space="preserve">Data and findings consistent</w:t>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Findings 3.2–3.3</w:t>
            </w:r>
          </w:p>
        </w:tc>
        <w:tc>
          <w:tcPr>
            <w:tcW w:type="dxa" w:w="43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Interpretive claims are grounded in and consistent with the quoted data, and an analytic narrative links themes to the aim, research questions, and sensitising orientation.</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bCs/>
                <w:sz w:val="18"/>
                <w:szCs w:val="18"/>
              </w:rPr>
              <w:t xml:space="preserve">31</w:t>
            </w:r>
          </w:p>
        </w:tc>
        <w:tc>
          <w:tcPr>
            <w:tcW w:type="dxa" w:w="18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Clarity of major themes</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Findings 3.2; Table 2</w:t>
            </w:r>
          </w:p>
        </w:tc>
        <w:tc>
          <w:tcPr>
            <w:tcW w:type="dxa" w:w="43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Four major themes are clearly named, defined and presented, and summarised in Table 2.</w:t>
            </w:r>
          </w:p>
        </w:tc>
      </w:tr>
      <w:tr>
        <w:tc>
          <w:tcPr>
            <w:tcW w:type="dxa" w:w="560"/>
            <w:tcBorders>
              <w:top w:val="single" w:color="BBBBBB" w:sz="1"/>
              <w:left w:val="single" w:color="BBBBBB" w:sz="1"/>
              <w:bottom w:val="single" w:color="BBBBBB" w:sz="1"/>
              <w:right w:val="single" w:color="BBBBBB" w:sz="1"/>
            </w:tcBorders>
            <w:shd w:fill="F2F6FB" w:val="clear"/>
            <w:tcMar>
              <w:top w:type="dxa" w:w="60"/>
              <w:left w:type="dxa" w:w="80"/>
              <w:bottom w:type="dxa" w:w="60"/>
              <w:right w:type="dxa" w:w="80"/>
            </w:tcMar>
          </w:tcPr>
          <w:p>
            <w:r>
              <w:rPr>
                <w:rFonts w:ascii="Arial" w:cs="Arial" w:eastAsia="Arial" w:hAnsi="Arial"/>
                <w:b/>
                <w:bCs/>
                <w:sz w:val="18"/>
                <w:szCs w:val="18"/>
              </w:rPr>
              <w:t xml:space="preserve">32</w:t>
            </w:r>
          </w:p>
        </w:tc>
        <w:tc>
          <w:tcPr>
            <w:tcW w:type="dxa" w:w="18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sz w:val="18"/>
                <w:szCs w:val="18"/>
              </w:rPr>
              <w:t xml:space="preserve">Clarity of minor themes</w:t>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b/>
                <w:bCs/>
                <w:color w:val="1E7B34"/>
                <w:sz w:val="18"/>
                <w:szCs w:val="18"/>
              </w:rPr>
              <w:t xml:space="preserve">Yes</w:t>
            </w:r>
          </w:p>
        </w:tc>
        <w:tc>
          <w:tcPr>
            <w:tcW w:type="dxa" w:w="15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Methods 2.7; Findings 3.2</w:t>
            </w:r>
          </w:p>
        </w:tc>
        <w:tc>
          <w:tcPr>
            <w:tcW w:type="dxa" w:w="435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tcPr>
          <w:p>
            <w:r>
              <w:rPr>
                <w:rFonts w:ascii="Arial" w:cs="Arial" w:eastAsia="Arial" w:hAnsi="Arial"/>
                <w:sz w:val="18"/>
                <w:szCs w:val="18"/>
              </w:rPr>
              <w:t xml:space="preserve">Subthemes and divergent accounts are described, including P11's within-subtheme divergence in Theme 1b and positive-care accounts in Theme 4c; P11 was treated as divergence rather than as a negative case.</w:t>
            </w:r>
          </w:p>
        </w:tc>
      </w:tr>
    </w:tbl>
    <w:p>
      <w:pPr>
        <w:spacing w:before="240"/>
      </w:pPr>
      <w:r>
        <w:rPr>
          <w:rFonts w:ascii="Arial" w:cs="Arial" w:eastAsia="Arial" w:hAnsi="Arial"/>
          <w:i/>
          <w:iCs/>
          <w:sz w:val="16"/>
          <w:szCs w:val="16"/>
        </w:rPr>
        <w:t xml:space="preserve">Note. “Partially” denotes items where the manuscript reports the substantive information but a sub-element of the original COREQ prompt was not applicable to the study design (item 13: participants self-initiated contact; item 23: summary interpretations rather than full transcripts were returned for member reflection).</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Supplementary File S2 — COREQ 32-item Checklist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2026-05-30T23:29:30.084Z</dcterms:created>
  <dcterms:modified xsi:type="dcterms:W3CDTF">2026-05-30T23:29:30.085Z</dcterms:modified>
</cp:coreProperties>
</file>

<file path=docProps/custom.xml><?xml version="1.0" encoding="utf-8"?>
<Properties xmlns="http://schemas.openxmlformats.org/officeDocument/2006/custom-properties" xmlns:vt="http://schemas.openxmlformats.org/officeDocument/2006/docPropsVTypes"/>
</file>