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6B55BD" w14:textId="77777777" w:rsidR="00C60CFF" w:rsidRPr="00B67792" w:rsidRDefault="00000000" w:rsidP="00B67792">
      <w:pPr>
        <w:spacing w:line="480" w:lineRule="auto"/>
        <w:jc w:val="both"/>
        <w:rPr>
          <w:b/>
          <w:bCs/>
        </w:rPr>
      </w:pPr>
      <w:r w:rsidRPr="00B67792">
        <w:rPr>
          <w:b/>
          <w:bCs/>
        </w:rPr>
        <w:t>Reading the Patient, Evaluating the System: Nurses’ Trust and Reliance in Artificial Intelligence–Assisted Early Warning</w:t>
      </w:r>
    </w:p>
    <w:p w14:paraId="54C52613" w14:textId="2B22DA03" w:rsidR="00C60CFF" w:rsidRPr="00B67792" w:rsidRDefault="00000000" w:rsidP="00B67792">
      <w:pPr>
        <w:spacing w:line="480" w:lineRule="auto"/>
        <w:ind w:firstLine="720"/>
        <w:jc w:val="both"/>
      </w:pPr>
      <w:r w:rsidRPr="00B67792">
        <w:t>We thank the authors of “</w:t>
      </w:r>
      <w:r w:rsidRPr="00AD14EF">
        <w:rPr>
          <w:i/>
          <w:iCs/>
        </w:rPr>
        <w:t>Calibrated to what? Feedback asymmetry and the limits of experiential trust in AI-assisted early warning</w:t>
      </w:r>
      <w:commentRangeStart w:id="0"/>
      <w:r w:rsidRPr="00B67792">
        <w:t>” f</w:t>
      </w:r>
      <w:commentRangeEnd w:id="0"/>
      <w:r w:rsidR="00A51928">
        <w:rPr>
          <w:rStyle w:val="CommentReference"/>
        </w:rPr>
        <w:commentReference w:id="0"/>
      </w:r>
      <w:r w:rsidRPr="00B67792">
        <w:t>or their constructive engagement with our study</w:t>
      </w:r>
      <w:r w:rsidR="001B70F3" w:rsidRPr="00B67792">
        <w:rPr>
          <w:vertAlign w:val="superscript"/>
        </w:rPr>
        <w:t>1</w:t>
      </w:r>
      <w:r w:rsidRPr="00B67792">
        <w:t xml:space="preserve">. Their central distinction is important: nurses’ accounts of adjusting trust do not establish whether those adjustments accurately reflect system performance. </w:t>
      </w:r>
      <w:r w:rsidR="00A51928">
        <w:rPr>
          <w:lang w:val="mt-MT"/>
        </w:rPr>
        <w:t>In this response, w</w:t>
      </w:r>
      <w:r w:rsidRPr="00B67792">
        <w:t xml:space="preserve">e clarify the scope of our findings and explain how their proposals complement the study’s nursing and </w:t>
      </w:r>
      <w:proofErr w:type="spellStart"/>
      <w:r w:rsidRPr="00B67792">
        <w:t>organisational</w:t>
      </w:r>
      <w:proofErr w:type="spellEnd"/>
      <w:r w:rsidRPr="00B67792">
        <w:t xml:space="preserve"> contribution.</w:t>
      </w:r>
    </w:p>
    <w:p w14:paraId="2A528ED4" w14:textId="77777777" w:rsidR="00C60CFF" w:rsidRPr="00B67792" w:rsidRDefault="00000000" w:rsidP="00B67792">
      <w:pPr>
        <w:spacing w:line="480" w:lineRule="auto"/>
        <w:jc w:val="both"/>
        <w:rPr>
          <w:b/>
          <w:bCs/>
        </w:rPr>
      </w:pPr>
      <w:r w:rsidRPr="00B67792">
        <w:rPr>
          <w:b/>
          <w:bCs/>
        </w:rPr>
        <w:t>Interpreting trust and evaluating calibration</w:t>
      </w:r>
    </w:p>
    <w:p w14:paraId="3C3E3262" w14:textId="1DB60645" w:rsidR="00C60CFF" w:rsidRPr="00B67792" w:rsidRDefault="00000000" w:rsidP="00B67792">
      <w:pPr>
        <w:spacing w:line="480" w:lineRule="auto"/>
        <w:ind w:firstLine="720"/>
        <w:jc w:val="both"/>
      </w:pPr>
      <w:r w:rsidRPr="00B67792">
        <w:t>Our Interpretive Description study examined how 23 critical care nurses across four hospitals in one regional health cluster made sense of AI-assisted early warning and negotiated professional responsibility</w:t>
      </w:r>
      <w:r w:rsidR="001B70F3" w:rsidRPr="001B70F3">
        <w:rPr>
          <w:vertAlign w:val="superscript"/>
        </w:rPr>
        <w:t>1,2</w:t>
      </w:r>
      <w:r w:rsidR="001B70F3" w:rsidRPr="00B67792">
        <w:t>.</w:t>
      </w:r>
      <w:r w:rsidR="001B70F3" w:rsidRPr="001B70F3">
        <w:rPr>
          <w:vertAlign w:val="superscript"/>
        </w:rPr>
        <w:t xml:space="preserve"> </w:t>
      </w:r>
      <w:r w:rsidRPr="00B67792">
        <w:t xml:space="preserve">Automation bias informed the inquiry as a </w:t>
      </w:r>
      <w:proofErr w:type="spellStart"/>
      <w:r w:rsidRPr="00B67792">
        <w:t>sensitising</w:t>
      </w:r>
      <w:proofErr w:type="spellEnd"/>
      <w:r w:rsidRPr="00B67792">
        <w:t xml:space="preserve"> concept. Interviews explored reported experiences relevant to susceptibility to automation bias; they did not independently verify automation-induced omission or commission errors, their frequency, or their consequences</w:t>
      </w:r>
      <w:r w:rsidR="001B70F3" w:rsidRPr="001B70F3">
        <w:rPr>
          <w:vertAlign w:val="superscript"/>
        </w:rPr>
        <w:t>3</w:t>
      </w:r>
      <w:r w:rsidRPr="00B67792">
        <w:t xml:space="preserve">. The accounts illuminate perceived authority, surveillance and accountability, without establishing </w:t>
      </w:r>
      <w:proofErr w:type="spellStart"/>
      <w:r w:rsidRPr="00B67792">
        <w:t>behavioural</w:t>
      </w:r>
      <w:proofErr w:type="spellEnd"/>
      <w:r w:rsidRPr="00B67792">
        <w:t xml:space="preserve"> error rates.</w:t>
      </w:r>
    </w:p>
    <w:p w14:paraId="391FAB80" w14:textId="6FBDACFA" w:rsidR="00C60CFF" w:rsidRPr="00B67792" w:rsidRDefault="00000000" w:rsidP="00B67792">
      <w:pPr>
        <w:spacing w:line="480" w:lineRule="auto"/>
        <w:ind w:firstLine="720"/>
        <w:jc w:val="both"/>
      </w:pPr>
      <w:r w:rsidRPr="00B67792">
        <w:t xml:space="preserve">Lee and See distinguish trust as an attitude from reliance as </w:t>
      </w:r>
      <w:proofErr w:type="spellStart"/>
      <w:r w:rsidRPr="00B67792">
        <w:t>behaviour</w:t>
      </w:r>
      <w:proofErr w:type="spellEnd"/>
      <w:r w:rsidRPr="00B67792">
        <w:t>, and define calibration through correspondence between trust and automation capabilities</w:t>
      </w:r>
      <w:r w:rsidR="001B70F3" w:rsidRPr="001B70F3">
        <w:rPr>
          <w:vertAlign w:val="superscript"/>
        </w:rPr>
        <w:t>4</w:t>
      </w:r>
      <w:r w:rsidRPr="00B67792">
        <w:t>. Our phrase “</w:t>
      </w:r>
      <w:r w:rsidRPr="00AD14EF">
        <w:rPr>
          <w:i/>
          <w:iCs/>
        </w:rPr>
        <w:t>actively calibrated through experience</w:t>
      </w:r>
      <w:r w:rsidRPr="00B67792">
        <w:t>”</w:t>
      </w:r>
      <w:r w:rsidR="00A93C31">
        <w:rPr>
          <w:lang w:val="mt-MT"/>
        </w:rPr>
        <w:t>,</w:t>
      </w:r>
      <w:r w:rsidRPr="00B67792">
        <w:t xml:space="preserve"> therefore</w:t>
      </w:r>
      <w:r w:rsidR="00A93C31">
        <w:rPr>
          <w:lang w:val="mt-MT"/>
        </w:rPr>
        <w:t>,</w:t>
      </w:r>
      <w:r w:rsidRPr="00B67792">
        <w:t xml:space="preserve"> requires greater precision: participants described adjusting trust through experience, but the accuracy of those adjustments was not evaluated. Similarly, “</w:t>
      </w:r>
      <w:r w:rsidRPr="00AD14EF">
        <w:rPr>
          <w:i/>
          <w:iCs/>
        </w:rPr>
        <w:t>correctly dismissing</w:t>
      </w:r>
      <w:r w:rsidRPr="00B67792">
        <w:t xml:space="preserve">” should be read as dismissing alerts nurses judged unhelpful, rather than independently adjudicated decisions. Accounts of early overreliance described reported experience, not measured differences by seniority. Our limitations </w:t>
      </w:r>
      <w:r w:rsidRPr="00B67792">
        <w:lastRenderedPageBreak/>
        <w:t>explicitly identified self-reported calibration as participants’ considered self-understanding rather than verified behaviour.</w:t>
      </w:r>
      <w:r>
        <w:rPr>
          <w:vertAlign w:val="superscript"/>
        </w:rPr>
        <w:t>1</w:t>
      </w:r>
      <w:r>
        <w:t xml:space="preserve"> Differentiated trust is an interpretive finding; accurate calibration remains an empirical question.</w:t>
      </w:r>
    </w:p>
    <w:p w14:paraId="0F03156F" w14:textId="6161066E" w:rsidR="00C60CFF" w:rsidRPr="00B67792" w:rsidRDefault="00000000" w:rsidP="00B67792">
      <w:pPr>
        <w:spacing w:line="480" w:lineRule="auto"/>
        <w:ind w:firstLine="720"/>
        <w:jc w:val="both"/>
      </w:pPr>
      <w:r w:rsidRPr="00B67792">
        <w:t>Nisbett and Wilson caution against treating retrospective explanations as sufficient evidence of the cognitive processes producing judgements</w:t>
      </w:r>
      <w:r w:rsidR="00AD14EF" w:rsidRPr="00AD14EF">
        <w:rPr>
          <w:vertAlign w:val="superscript"/>
        </w:rPr>
        <w:t>5</w:t>
      </w:r>
      <w:r w:rsidRPr="00B67792">
        <w:t xml:space="preserve">. Interviews nevertheless contribute to understanding perceived responsibility, professional meanings and </w:t>
      </w:r>
      <w:proofErr w:type="spellStart"/>
      <w:r w:rsidRPr="00B67792">
        <w:t>organisational</w:t>
      </w:r>
      <w:proofErr w:type="spellEnd"/>
      <w:r w:rsidRPr="00B67792">
        <w:t xml:space="preserve"> expectations, which audit logs alone cannot recover. P19’s teaching that “</w:t>
      </w:r>
      <w:r w:rsidRPr="00922671">
        <w:rPr>
          <w:i/>
          <w:iCs/>
        </w:rPr>
        <w:t>the algorithm is one voice</w:t>
      </w:r>
      <w:r w:rsidRPr="00B67792">
        <w:t>” exemplifies this professional meaning</w:t>
      </w:r>
      <w:r w:rsidR="00AD14EF" w:rsidRPr="00AD14EF">
        <w:rPr>
          <w:vertAlign w:val="superscript"/>
        </w:rPr>
        <w:t>1</w:t>
      </w:r>
      <w:r w:rsidRPr="00B67792">
        <w:t xml:space="preserve">. Reported actions also remain vulnerable to recall and social desirability; accounts cannot replace </w:t>
      </w:r>
      <w:proofErr w:type="spellStart"/>
      <w:r w:rsidRPr="00B67792">
        <w:t>behavioural</w:t>
      </w:r>
      <w:proofErr w:type="spellEnd"/>
      <w:r w:rsidRPr="00B67792">
        <w:t xml:space="preserve"> and performance data. We also </w:t>
      </w:r>
      <w:proofErr w:type="spellStart"/>
      <w:r w:rsidRPr="00B67792">
        <w:t>recognise</w:t>
      </w:r>
      <w:proofErr w:type="spellEnd"/>
      <w:r w:rsidRPr="00B67792">
        <w:t xml:space="preserve"> that foundational automation theories already describe dynamic processes</w:t>
      </w:r>
      <w:r w:rsidR="00AD14EF" w:rsidRPr="00AD14EF">
        <w:rPr>
          <w:vertAlign w:val="superscript"/>
        </w:rPr>
        <w:t>3,4</w:t>
      </w:r>
      <w:r w:rsidRPr="00B67792">
        <w:t>.</w:t>
      </w:r>
      <w:r w:rsidR="00AD14EF">
        <w:t xml:space="preserve"> </w:t>
      </w:r>
      <w:r w:rsidRPr="00B67792">
        <w:t>Our contribution extends these dynamic accounts by specifying their nursing context through experiences of hierarchy, collegial support, documentation burden and institutional ambivalence</w:t>
      </w:r>
      <w:r w:rsidR="00AD14EF" w:rsidRPr="00AD14EF">
        <w:rPr>
          <w:vertAlign w:val="superscript"/>
        </w:rPr>
        <w:t>1</w:t>
      </w:r>
      <w:r w:rsidRPr="00B67792">
        <w:t>.</w:t>
      </w:r>
    </w:p>
    <w:p w14:paraId="045A0531" w14:textId="77777777" w:rsidR="00C60CFF" w:rsidRPr="00922671" w:rsidRDefault="00000000" w:rsidP="00B67792">
      <w:pPr>
        <w:spacing w:line="480" w:lineRule="auto"/>
        <w:jc w:val="both"/>
        <w:rPr>
          <w:b/>
          <w:bCs/>
        </w:rPr>
      </w:pPr>
      <w:r w:rsidRPr="00922671">
        <w:rPr>
          <w:b/>
          <w:bCs/>
        </w:rPr>
        <w:t>Feedback and the clinical reference</w:t>
      </w:r>
    </w:p>
    <w:p w14:paraId="0C85CF51" w14:textId="77777777" w:rsidR="00C60CFF" w:rsidRPr="00B67792" w:rsidRDefault="00000000" w:rsidP="00922671">
      <w:pPr>
        <w:spacing w:line="480" w:lineRule="auto"/>
        <w:ind w:firstLine="720"/>
        <w:jc w:val="both"/>
      </w:pPr>
      <w:r w:rsidRPr="00B67792">
        <w:t xml:space="preserve">Feedback asymmetry offers a plausible complementary explanation for reported trust adjustment. Visible, apparently unhelpful alerts can influence confidence, while </w:t>
      </w:r>
      <w:proofErr w:type="spellStart"/>
      <w:r w:rsidRPr="00B67792">
        <w:t>unrecognised</w:t>
      </w:r>
      <w:proofErr w:type="spellEnd"/>
      <w:r w:rsidRPr="00B67792">
        <w:t xml:space="preserve"> missed events provide no corrective feedback. Our interviews cannot determine the relative contributions of accurate learning and selectively visible error. Duration of exposure alone establishes neither expertise in evaluating the model nor the completeness of feedback.</w:t>
      </w:r>
    </w:p>
    <w:p w14:paraId="046F17D8" w14:textId="40EB3BC3" w:rsidR="00C60CFF" w:rsidRPr="00B67792" w:rsidRDefault="00000000" w:rsidP="00922671">
      <w:pPr>
        <w:spacing w:line="480" w:lineRule="auto"/>
        <w:ind w:firstLine="720"/>
        <w:jc w:val="both"/>
      </w:pPr>
      <w:r w:rsidRPr="00B67792">
        <w:t xml:space="preserve">Clinical outcomes also require careful interpretation. An alert followed by no deterioration may reflect effective intervention rather than a false alarm. Deterioration </w:t>
      </w:r>
      <w:proofErr w:type="spellStart"/>
      <w:r w:rsidRPr="00B67792">
        <w:t>recognised</w:t>
      </w:r>
      <w:proofErr w:type="spellEnd"/>
      <w:r w:rsidRPr="00B67792">
        <w:t xml:space="preserve"> by a nurse may reveal an absent warning, but agreement between nurse and model can leave a shared error unnoticed. P09’s account of a reassuring score despite concern about </w:t>
      </w:r>
      <w:r w:rsidRPr="00B67792">
        <w:lastRenderedPageBreak/>
        <w:t>the patient illustrates perceived discordance, not a verified false negative; P14’s account of learning when the system would miss likewise describes perceived knowledge</w:t>
      </w:r>
      <w:r w:rsidR="00922671" w:rsidRPr="00922671">
        <w:rPr>
          <w:vertAlign w:val="superscript"/>
        </w:rPr>
        <w:t>1</w:t>
      </w:r>
      <w:r w:rsidRPr="00B67792">
        <w:t>.</w:t>
      </w:r>
    </w:p>
    <w:p w14:paraId="34F25C89" w14:textId="5E50FD5B" w:rsidR="00C60CFF" w:rsidRPr="00B67792" w:rsidRDefault="00000000" w:rsidP="00922671">
      <w:pPr>
        <w:spacing w:line="480" w:lineRule="auto"/>
        <w:ind w:firstLine="720"/>
        <w:jc w:val="both"/>
      </w:pPr>
      <w:r w:rsidRPr="00B67792">
        <w:t xml:space="preserve">Our </w:t>
      </w:r>
      <w:r w:rsidR="00C36A7A">
        <w:rPr>
          <w:lang w:val="mt-MT"/>
        </w:rPr>
        <w:t>study</w:t>
      </w:r>
      <w:r w:rsidR="00C36A7A" w:rsidRPr="00B67792">
        <w:t xml:space="preserve"> </w:t>
      </w:r>
      <w:proofErr w:type="spellStart"/>
      <w:r w:rsidRPr="00B67792">
        <w:t>recognised</w:t>
      </w:r>
      <w:proofErr w:type="spellEnd"/>
      <w:r w:rsidRPr="00B67792">
        <w:t xml:space="preserve"> that omission-type vulnerability may become visible only after deterioration is missed, but did not fully examine the implications for learning</w:t>
      </w:r>
      <w:r w:rsidR="00922671" w:rsidRPr="00922671">
        <w:rPr>
          <w:vertAlign w:val="superscript"/>
        </w:rPr>
        <w:t>1</w:t>
      </w:r>
      <w:r w:rsidRPr="00B67792">
        <w:t>. If surveillance becomes alert-dependent, nurses may lose opportunities both to detect deterioration and to question reassuring outputs. This strengthens the rationale for protecting bedside surveillance and rehearsing responses to discordant alerts and deterioration without warning. Knowledge exchanged among colleagues may be valuable while remaining subject to the same selective feedback. Accessible performance reports that include independently ascertained missed events could complement experiential learning, provided uncertainty and subgroup limitations are communicated.</w:t>
      </w:r>
    </w:p>
    <w:p w14:paraId="50D4CDE8" w14:textId="08C63F96" w:rsidR="00C60CFF" w:rsidRPr="00B67792" w:rsidRDefault="00000000" w:rsidP="00922671">
      <w:pPr>
        <w:spacing w:line="480" w:lineRule="auto"/>
        <w:ind w:firstLine="720"/>
        <w:jc w:val="both"/>
      </w:pPr>
      <w:r w:rsidRPr="00B67792">
        <w:t>Concordance with bedside assessment is clinically useful but cannot independently validate the model. Schwartz and colleagues found that agreement with clinicians’ impressions influenced perceived system accuracy</w:t>
      </w:r>
      <w:r w:rsidR="001D5779" w:rsidRPr="001D5779">
        <w:rPr>
          <w:vertAlign w:val="superscript"/>
        </w:rPr>
        <w:t>6</w:t>
      </w:r>
      <w:r w:rsidRPr="00B67792">
        <w:t>. Assessment after viewing an alert may itself be influenced by that alert. Nurses and models may also draw on overlapping recorded observations; correlated errors are therefore possible, but were not demonstrated in our study. Bedside assessment nevertheless includes contextual observations beyond recorded inputs. Independent evaluation supports, rather than displaces, the nurse’s immediate responsibility to assess and respond to the patient.</w:t>
      </w:r>
    </w:p>
    <w:p w14:paraId="0EEC2AD4" w14:textId="6BAAECCC" w:rsidR="00C60CFF" w:rsidRPr="00B67792" w:rsidRDefault="00000000" w:rsidP="001D5779">
      <w:pPr>
        <w:spacing w:line="480" w:lineRule="auto"/>
        <w:ind w:firstLine="720"/>
        <w:jc w:val="both"/>
      </w:pPr>
      <w:r w:rsidRPr="00B67792">
        <w:t>Our article reported no local performance estimates and did not independently audit the model’s proprietary characteristics</w:t>
      </w:r>
      <w:r w:rsidR="001D5779" w:rsidRPr="001D5779">
        <w:rPr>
          <w:vertAlign w:val="superscript"/>
        </w:rPr>
        <w:t>1</w:t>
      </w:r>
      <w:r w:rsidRPr="00B67792">
        <w:t>. The external validation cited by the commentators evaluated a different, sepsis-specific model; its estimates cannot describe our participants’ deterioration system</w:t>
      </w:r>
      <w:r w:rsidR="001D5779" w:rsidRPr="001D5779">
        <w:rPr>
          <w:vertAlign w:val="superscript"/>
        </w:rPr>
        <w:t>7</w:t>
      </w:r>
      <w:r w:rsidRPr="00B67792">
        <w:t xml:space="preserve">. Local evaluation should specify outcomes, prediction horizons and alert thresholds, include missed events, and account for the effects of clinical intervention. Institutions should arrange this evaluation with appropriate technical expertise, vendor </w:t>
      </w:r>
      <w:r w:rsidRPr="00B67792">
        <w:lastRenderedPageBreak/>
        <w:t>cooperation and nursing involvement, rather than leaving individual nurses to reconstruct model performance through experience.</w:t>
      </w:r>
    </w:p>
    <w:p w14:paraId="1533CFEC" w14:textId="77777777" w:rsidR="00C60CFF" w:rsidRPr="001D5779" w:rsidRDefault="00000000" w:rsidP="00B67792">
      <w:pPr>
        <w:spacing w:line="480" w:lineRule="auto"/>
        <w:jc w:val="both"/>
        <w:rPr>
          <w:b/>
          <w:bCs/>
        </w:rPr>
      </w:pPr>
      <w:r w:rsidRPr="001D5779">
        <w:rPr>
          <w:b/>
          <w:bCs/>
        </w:rPr>
        <w:t>Accountability and complementary evaluation</w:t>
      </w:r>
    </w:p>
    <w:p w14:paraId="7FBC6074" w14:textId="32924DA3" w:rsidR="00C60CFF" w:rsidRPr="00B67792" w:rsidRDefault="00000000" w:rsidP="001D5779">
      <w:pPr>
        <w:spacing w:line="480" w:lineRule="auto"/>
        <w:ind w:firstLine="720"/>
        <w:jc w:val="both"/>
      </w:pPr>
      <w:r w:rsidRPr="00B67792">
        <w:t>Silent override identified a gap in the visibility of nurses’ reported reasoning; it did not demonstrate that undocumented decisions were correct. Our proposed brief override field was a governance recommendation, not a tested safety intervention</w:t>
      </w:r>
      <w:r w:rsidR="001D5779" w:rsidRPr="001D5779">
        <w:rPr>
          <w:vertAlign w:val="superscript"/>
        </w:rPr>
        <w:t>1</w:t>
      </w:r>
      <w:r w:rsidRPr="00B67792">
        <w:t>. The commentators’ concern about adding friction only to disagreement is well taken. Acceptance and override merit comparable scrutiny, but comparable scrutiny need not require equal additional documentation. Automated capture of outputs, recorded responses and outcomes, with targeted contextual review, could support evaluation without requiring nurses to acknowledge every alert manually.</w:t>
      </w:r>
    </w:p>
    <w:p w14:paraId="78CD4C88" w14:textId="5E089892" w:rsidR="00C60CFF" w:rsidRPr="00B67792" w:rsidRDefault="00000000" w:rsidP="001D5779">
      <w:pPr>
        <w:spacing w:line="480" w:lineRule="auto"/>
        <w:ind w:firstLine="720"/>
        <w:jc w:val="both"/>
      </w:pPr>
      <w:r w:rsidRPr="00B67792">
        <w:t>Evaluation should include agreement, disagreement and deterioration during periods without alerts. Logs may capture responses but cannot always distinguish considered non-escalation from an unnoticed alert, or confidence from institutional obligation. P17’s account of processing escalation after suctioning because an alert existed suggests how institutional obligation may shape action independently of trust</w:t>
      </w:r>
      <w:r w:rsidR="006C33CD" w:rsidRPr="006C33CD">
        <w:rPr>
          <w:vertAlign w:val="superscript"/>
        </w:rPr>
        <w:t>1</w:t>
      </w:r>
      <w:r w:rsidRPr="00B67792">
        <w:t>. Where escalation is institutionally required, reduced confidence need not reduce recorded compliance. The reason for escalation cannot be inferred from the logged action alone. Linking logs with contextual accounts can improve interpretation; any additional acknowledgement mechanism needs feasibility testing, and absent acknowledgement cannot establish that an alert was unread. An absent recorded rationale also limits retrospective interpretation and shared learning. Neither acceptance nor override is inherently appropriate. Review should consider information available when decisions were made and avoid treating either conformity with the algorithm or subsequent outcome alone as proof of sound judgement.</w:t>
      </w:r>
    </w:p>
    <w:p w14:paraId="76FDEA20" w14:textId="6BEE21E3" w:rsidR="00C60CFF" w:rsidRPr="00B67792" w:rsidRDefault="00000000" w:rsidP="006C33CD">
      <w:pPr>
        <w:spacing w:line="480" w:lineRule="auto"/>
        <w:ind w:firstLine="720"/>
        <w:jc w:val="both"/>
      </w:pPr>
      <w:r w:rsidRPr="00B67792">
        <w:lastRenderedPageBreak/>
        <w:t>Our original research recommendations proposed real-time observation, think-aloud approaches, linkage with electronic health record data and patient outcomes, and longitudinal, intervention and interprofessional investigation</w:t>
      </w:r>
      <w:r w:rsidR="006C33CD" w:rsidRPr="006C33CD">
        <w:rPr>
          <w:vertAlign w:val="superscript"/>
        </w:rPr>
        <w:t>1</w:t>
      </w:r>
      <w:r w:rsidRPr="00B67792">
        <w:t xml:space="preserve">. Comparisons with and without AI would add a useful test of how the aid changes decisions. Simulation and vignette designs can examine discordant alerts and unalerted deterioration without withdrawing clinical support. </w:t>
      </w:r>
      <w:proofErr w:type="spellStart"/>
      <w:r w:rsidRPr="00B67792">
        <w:t>Jabbour</w:t>
      </w:r>
      <w:proofErr w:type="spellEnd"/>
      <w:r w:rsidRPr="00B67792">
        <w:t xml:space="preserve"> and colleagues found that image-based explanations did not significantly mitigate the reduction in diagnostic accuracy associated with systematically biased predictions.</w:t>
      </w:r>
      <w:r>
        <w:rPr>
          <w:vertAlign w:val="superscript"/>
        </w:rPr>
        <w:t>8</w:t>
      </w:r>
      <w:r>
        <w:t xml:space="preserve"> This supports testing explanations rather than assuming benefit; applicability to critical care nursing surveillance requires investigation.</w:t>
      </w:r>
    </w:p>
    <w:p w14:paraId="060BBD0C" w14:textId="77777777" w:rsidR="00C60CFF" w:rsidRDefault="00000000" w:rsidP="006C33CD">
      <w:pPr>
        <w:spacing w:line="480" w:lineRule="auto"/>
        <w:ind w:firstLine="720"/>
        <w:jc w:val="both"/>
      </w:pPr>
      <w:r w:rsidRPr="00B67792">
        <w:t xml:space="preserve">Future studies should distinguish reported trust, self-confidence and observed reliance, comparing decisions with prespecified clinical references adjudicated independently of model outputs. Linking reported trust with independently evaluated performance, including </w:t>
      </w:r>
      <w:proofErr w:type="spellStart"/>
      <w:r w:rsidRPr="00B67792">
        <w:t>recognised</w:t>
      </w:r>
      <w:proofErr w:type="spellEnd"/>
      <w:r w:rsidRPr="00B67792">
        <w:t xml:space="preserve"> and </w:t>
      </w:r>
      <w:proofErr w:type="spellStart"/>
      <w:r w:rsidRPr="00B67792">
        <w:t>unrecognised</w:t>
      </w:r>
      <w:proofErr w:type="spellEnd"/>
      <w:r w:rsidRPr="00B67792">
        <w:t xml:space="preserve"> missed events, could examine how reliability and feedback visibility jointly shape trust. Workload, hierarchy and mandatory escalation also warrant examination. To the question “</w:t>
      </w:r>
      <w:r w:rsidRPr="006C33CD">
        <w:rPr>
          <w:i/>
          <w:iCs/>
        </w:rPr>
        <w:t>Calibrated to what</w:t>
      </w:r>
      <w:r w:rsidRPr="00B67792">
        <w:t>?”, bedside assessment guides immediate care, while independent, outcome-linked evaluation provides evidence to assess whether trust and reliance correspond to system performance. Our study explains nurses’ accounts and the conditions shaping their responses; complementary research can evaluate their appropriateness. Safe integration requires both kinds of knowledge, proportionate accountability and shared learning.</w:t>
      </w:r>
    </w:p>
    <w:p>
      <w:pPr>
        <w:spacing w:line="480" w:lineRule="auto"/>
        <w:jc w:val="both"/>
        <w:rPr>
          <w:b/>
          <w:bCs/>
        </w:rPr>
      </w:pPr>
      <w:r>
        <w:rPr>
          <w:b/>
          <w:bCs/>
        </w:rPr>
        <w:t>Declaration of Generative AI Use</w:t>
      </w:r>
    </w:p>
    <w:p>
      <w:pPr>
        <w:spacing w:line="480" w:lineRule="auto"/>
        <w:ind w:firstLine="720"/>
        <w:jc w:val="both"/>
      </w:pPr>
      <w:r>
        <w:t xml:space="preserve">During the preparation of this response, the authors used Claude (Anthropic) to assist with drafting, language editing, and checking quotations and references against their sources. The authors critically reviewed and revised all output, verified its accuracy, and take full responsibility for the content of this publication. No generative AI tool is credited as an author.</w:t>
      </w:r>
    </w:p>
    <w:p w14:paraId="2055F863" w14:textId="77777777" w:rsidR="006C33CD" w:rsidRDefault="006C33CD" w:rsidP="006C33CD">
      <w:pPr>
        <w:spacing w:line="480" w:lineRule="auto"/>
        <w:ind w:firstLine="720"/>
        <w:jc w:val="both"/>
      </w:pPr>
    </w:p>
    <w:p w14:paraId="6F28D0EB" w14:textId="77777777" w:rsidR="006C33CD" w:rsidRDefault="006C33CD" w:rsidP="006C33CD">
      <w:pPr>
        <w:spacing w:line="480" w:lineRule="auto"/>
        <w:ind w:firstLine="720"/>
        <w:jc w:val="both"/>
      </w:pPr>
    </w:p>
    <w:p w14:paraId="38B4AEE2" w14:textId="77777777" w:rsidR="006C33CD" w:rsidRDefault="006C33CD" w:rsidP="006C33CD">
      <w:pPr>
        <w:spacing w:line="480" w:lineRule="auto"/>
        <w:ind w:firstLine="720"/>
        <w:jc w:val="both"/>
      </w:pPr>
    </w:p>
    <w:p w14:paraId="2408465C" w14:textId="77777777" w:rsidR="006C33CD" w:rsidRPr="00B67792" w:rsidRDefault="006C33CD" w:rsidP="006C33CD">
      <w:pPr>
        <w:spacing w:line="480" w:lineRule="auto"/>
        <w:ind w:firstLine="720"/>
        <w:jc w:val="both"/>
      </w:pPr>
    </w:p>
    <w:p w14:paraId="0B602CBC" w14:textId="77777777" w:rsidR="00C60CFF" w:rsidRPr="006C33CD" w:rsidRDefault="00000000" w:rsidP="00B67792">
      <w:pPr>
        <w:spacing w:line="480" w:lineRule="auto"/>
        <w:jc w:val="both"/>
        <w:rPr>
          <w:b/>
          <w:bCs/>
        </w:rPr>
      </w:pPr>
      <w:r w:rsidRPr="006C33CD">
        <w:rPr>
          <w:b/>
          <w:bCs/>
        </w:rPr>
        <w:lastRenderedPageBreak/>
        <w:t>References</w:t>
      </w:r>
    </w:p>
    <w:p w14:paraId="03A0E4B1" w14:textId="6C7FEB92" w:rsidR="00C60CFF" w:rsidRPr="00B67792" w:rsidRDefault="00000000" w:rsidP="006C33CD">
      <w:pPr>
        <w:pStyle w:val="ListParagraph"/>
        <w:numPr>
          <w:ilvl w:val="0"/>
          <w:numId w:val="10"/>
        </w:numPr>
        <w:spacing w:line="480" w:lineRule="auto"/>
        <w:jc w:val="both"/>
      </w:pPr>
      <w:proofErr w:type="spellStart"/>
      <w:r w:rsidRPr="00B67792">
        <w:t>Samy</w:t>
      </w:r>
      <w:proofErr w:type="spellEnd"/>
      <w:r w:rsidRPr="00B67792">
        <w:t xml:space="preserve"> R, Ramadan OME, </w:t>
      </w:r>
      <w:proofErr w:type="spellStart"/>
      <w:r w:rsidRPr="00B67792">
        <w:t>Elsayed</w:t>
      </w:r>
      <w:proofErr w:type="spellEnd"/>
      <w:r w:rsidRPr="00B67792">
        <w:t xml:space="preserve"> GEA. Trusting the algorithm or trusting the nurse? Critical care nurses’ experiences of automation bias and professional autonomy in AI-assisted early warning. Nursing in Critical Care. 2026;31(5):e70620. doi:10.1111/nicc.70620</w:t>
      </w:r>
    </w:p>
    <w:p w14:paraId="4E721D36" w14:textId="027D2A11" w:rsidR="00C60CFF" w:rsidRPr="00B67792" w:rsidRDefault="00000000" w:rsidP="006C33CD">
      <w:pPr>
        <w:pStyle w:val="ListParagraph"/>
        <w:numPr>
          <w:ilvl w:val="0"/>
          <w:numId w:val="10"/>
        </w:numPr>
        <w:spacing w:line="480" w:lineRule="auto"/>
        <w:jc w:val="both"/>
      </w:pPr>
      <w:r w:rsidRPr="00B67792">
        <w:t>Thorne S. Interpretive Description: Qualitative Research for Applied Practice. 2nd ed. New York: Routledge; 2016.</w:t>
      </w:r>
    </w:p>
    <w:p w14:paraId="0AD78254" w14:textId="0A75FECC" w:rsidR="00C60CFF" w:rsidRPr="00B67792" w:rsidRDefault="00000000" w:rsidP="000A3119">
      <w:pPr>
        <w:pStyle w:val="ListParagraph"/>
        <w:numPr>
          <w:ilvl w:val="0"/>
          <w:numId w:val="10"/>
        </w:numPr>
        <w:spacing w:line="480" w:lineRule="auto"/>
        <w:jc w:val="both"/>
      </w:pPr>
      <w:r w:rsidRPr="00B67792">
        <w:t xml:space="preserve">Parasuraman R, </w:t>
      </w:r>
      <w:proofErr w:type="spellStart"/>
      <w:r w:rsidRPr="00B67792">
        <w:t>Manzey</w:t>
      </w:r>
      <w:proofErr w:type="spellEnd"/>
      <w:r w:rsidRPr="00B67792">
        <w:t xml:space="preserve"> DH. Complacency and bias in human use of automation: an attentional integration. Human Factors. 2010;52(3):381-410.</w:t>
      </w:r>
      <w:r w:rsidR="000A3119">
        <w:t xml:space="preserve"> </w:t>
      </w:r>
      <w:r w:rsidRPr="00B67792">
        <w:t>doi:10.1177/0018720810376055</w:t>
      </w:r>
    </w:p>
    <w:p w14:paraId="08AF7E9A" w14:textId="657433CA" w:rsidR="00C60CFF" w:rsidRPr="00B67792" w:rsidRDefault="00000000" w:rsidP="006C33CD">
      <w:pPr>
        <w:pStyle w:val="ListParagraph"/>
        <w:numPr>
          <w:ilvl w:val="0"/>
          <w:numId w:val="10"/>
        </w:numPr>
        <w:spacing w:line="480" w:lineRule="auto"/>
        <w:jc w:val="both"/>
      </w:pPr>
      <w:r w:rsidRPr="00B67792">
        <w:t>Lee JD, See KA. Trust in automation: designing for appropriate reliance. Human Factors. 2004;46(1):50-80. doi:10.1518/hfes.46.1.50_30392</w:t>
      </w:r>
    </w:p>
    <w:p w14:paraId="4F988242" w14:textId="35F3B1B0" w:rsidR="00C60CFF" w:rsidRPr="00B67792" w:rsidRDefault="00000000" w:rsidP="006C33CD">
      <w:pPr>
        <w:pStyle w:val="ListParagraph"/>
        <w:numPr>
          <w:ilvl w:val="0"/>
          <w:numId w:val="10"/>
        </w:numPr>
        <w:spacing w:line="480" w:lineRule="auto"/>
        <w:jc w:val="both"/>
      </w:pPr>
      <w:r w:rsidRPr="00B67792">
        <w:t>Nisbett RE, Wilson TD. Telling more than we can know: verbal reports on mental processes. Psychological Review. 1977;84(3):231-259. doi:10.1037/0033-295X.84.3.231</w:t>
      </w:r>
    </w:p>
    <w:p w14:paraId="28C9ED2D" w14:textId="60F47697" w:rsidR="00C60CFF" w:rsidRPr="00B67792" w:rsidRDefault="00000000" w:rsidP="006C33CD">
      <w:pPr>
        <w:pStyle w:val="ListParagraph"/>
        <w:numPr>
          <w:ilvl w:val="0"/>
          <w:numId w:val="10"/>
        </w:numPr>
        <w:spacing w:line="480" w:lineRule="auto"/>
        <w:jc w:val="both"/>
      </w:pPr>
      <w:r w:rsidRPr="006C33CD">
        <w:rPr>
          <w:lang w:val="nb-NO"/>
        </w:rPr>
        <w:t xml:space="preserve">Schwartz JM, George M, Rossetti SC, et al. </w:t>
      </w:r>
      <w:r w:rsidRPr="00B67792">
        <w:t>Factors influencing clinician trust in predictive clinical decision support systems for in-hospital deterioration: qualitative descriptive study. JMIR Human Factors. 2022;9(2):e33960. doi:10.2196/33960</w:t>
      </w:r>
    </w:p>
    <w:p w14:paraId="659CB0F6" w14:textId="1D766DE7" w:rsidR="00C60CFF" w:rsidRPr="00B67792" w:rsidRDefault="00000000" w:rsidP="006C33CD">
      <w:pPr>
        <w:pStyle w:val="ListParagraph"/>
        <w:numPr>
          <w:ilvl w:val="0"/>
          <w:numId w:val="10"/>
        </w:numPr>
        <w:spacing w:line="480" w:lineRule="auto"/>
        <w:jc w:val="both"/>
      </w:pPr>
      <w:r w:rsidRPr="006C33CD">
        <w:rPr>
          <w:lang w:val="fr-FR"/>
        </w:rPr>
        <w:t xml:space="preserve">Wong A, </w:t>
      </w:r>
      <w:proofErr w:type="spellStart"/>
      <w:r w:rsidRPr="006C33CD">
        <w:rPr>
          <w:lang w:val="fr-FR"/>
        </w:rPr>
        <w:t>Otles</w:t>
      </w:r>
      <w:proofErr w:type="spellEnd"/>
      <w:r w:rsidRPr="006C33CD">
        <w:rPr>
          <w:lang w:val="fr-FR"/>
        </w:rPr>
        <w:t xml:space="preserve"> E, Donnelly JP, et al. </w:t>
      </w:r>
      <w:r w:rsidRPr="00B67792">
        <w:t>External validation of a widely implemented proprietary sepsis prediction model in hospitalized patients. JAMA Internal Medicine. 2021;181(8):1065-1070. doi:10.1001/jamainternmed.2021.2626</w:t>
      </w:r>
    </w:p>
    <w:p w14:paraId="473DB07F" w14:textId="6362F1BC" w:rsidR="00C60CFF" w:rsidRPr="00B67792" w:rsidRDefault="00000000" w:rsidP="006C33CD">
      <w:pPr>
        <w:pStyle w:val="ListParagraph"/>
        <w:numPr>
          <w:ilvl w:val="0"/>
          <w:numId w:val="10"/>
        </w:numPr>
        <w:spacing w:line="480" w:lineRule="auto"/>
        <w:jc w:val="both"/>
      </w:pPr>
      <w:proofErr w:type="spellStart"/>
      <w:r w:rsidRPr="00B67792">
        <w:t>Jabbour</w:t>
      </w:r>
      <w:proofErr w:type="spellEnd"/>
      <w:r w:rsidRPr="00B67792">
        <w:t xml:space="preserve"> S, </w:t>
      </w:r>
      <w:proofErr w:type="spellStart"/>
      <w:r w:rsidRPr="00B67792">
        <w:t>Fouhey</w:t>
      </w:r>
      <w:proofErr w:type="spellEnd"/>
      <w:r w:rsidRPr="00B67792">
        <w:t xml:space="preserve"> D, Shepard S, et al. Measuring the impact of AI in the diagnosis of hospitalized patients: a randomized clinical vignette survey study. JAMA. 2023;330(23):2275-2284. doi:10.1001/jama.2023.22295</w:t>
      </w:r>
    </w:p>
    <w:sectPr w:rsidR="00C60CFF" w:rsidRPr="00B67792" w:rsidSect="00B67792">
      <w:pgSz w:w="11905"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uthor" w:initials="A">
    <w:p w14:paraId="513C1FA8" w14:textId="0891790B" w:rsidR="00A51928" w:rsidRPr="00012D8C" w:rsidRDefault="00A51928">
      <w:pPr>
        <w:pStyle w:val="CommentText"/>
        <w:rPr>
          <w:lang w:val="mt-MT"/>
        </w:rPr>
      </w:pPr>
      <w:r>
        <w:rPr>
          <w:rStyle w:val="CommentReference"/>
        </w:rPr>
        <w:annotationRef/>
      </w:r>
      <w:r w:rsidR="00012D8C">
        <w:rPr>
          <w:lang w:val="mt-MT"/>
        </w:rPr>
        <w:t xml:space="preserve">PRODUCTION TEAM to add reference to critical commentary here.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13C1FA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13C1FA8" w16cid:durableId="4564343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8B0E4F" w14:textId="77777777" w:rsidR="00DF51B5" w:rsidRDefault="00DF51B5">
      <w:pPr>
        <w:spacing w:after="0" w:line="240" w:lineRule="auto"/>
      </w:pPr>
      <w:r>
        <w:separator/>
      </w:r>
    </w:p>
  </w:endnote>
  <w:endnote w:type="continuationSeparator" w:id="0">
    <w:p w14:paraId="40B4F9B4" w14:textId="77777777" w:rsidR="00DF51B5" w:rsidRDefault="00DF51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00500000000000000"/>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3A95A4" w14:textId="77777777" w:rsidR="00DF51B5" w:rsidRDefault="00DF51B5">
      <w:pPr>
        <w:spacing w:after="0" w:line="240" w:lineRule="auto"/>
      </w:pPr>
      <w:r>
        <w:separator/>
      </w:r>
    </w:p>
  </w:footnote>
  <w:footnote w:type="continuationSeparator" w:id="0">
    <w:p w14:paraId="3A5B5190" w14:textId="77777777" w:rsidR="00DF51B5" w:rsidRDefault="00DF51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EB1B3F"/>
    <w:multiLevelType w:val="hybridMultilevel"/>
    <w:tmpl w:val="D76007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6270542">
    <w:abstractNumId w:val="8"/>
  </w:num>
  <w:num w:numId="2" w16cid:durableId="337080894">
    <w:abstractNumId w:val="6"/>
  </w:num>
  <w:num w:numId="3" w16cid:durableId="572161933">
    <w:abstractNumId w:val="5"/>
  </w:num>
  <w:num w:numId="4" w16cid:durableId="1703818166">
    <w:abstractNumId w:val="4"/>
  </w:num>
  <w:num w:numId="5" w16cid:durableId="2089114987">
    <w:abstractNumId w:val="7"/>
  </w:num>
  <w:num w:numId="6" w16cid:durableId="1394353930">
    <w:abstractNumId w:val="3"/>
  </w:num>
  <w:num w:numId="7" w16cid:durableId="1028485511">
    <w:abstractNumId w:val="2"/>
  </w:num>
  <w:num w:numId="8" w16cid:durableId="1388651762">
    <w:abstractNumId w:val="1"/>
  </w:num>
  <w:num w:numId="9" w16cid:durableId="586042660">
    <w:abstractNumId w:val="0"/>
  </w:num>
  <w:num w:numId="10" w16cid:durableId="1304888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removePersonalInformation/>
  <w:removeDateAndTime/>
  <w:proofState w:spelling="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D8C"/>
    <w:rsid w:val="00024769"/>
    <w:rsid w:val="00034616"/>
    <w:rsid w:val="0006063C"/>
    <w:rsid w:val="000A3119"/>
    <w:rsid w:val="0015074B"/>
    <w:rsid w:val="001B70F3"/>
    <w:rsid w:val="001B78DF"/>
    <w:rsid w:val="001D5779"/>
    <w:rsid w:val="0029639D"/>
    <w:rsid w:val="00326F90"/>
    <w:rsid w:val="00564DAF"/>
    <w:rsid w:val="005A16BA"/>
    <w:rsid w:val="006C33CD"/>
    <w:rsid w:val="00816627"/>
    <w:rsid w:val="0082755D"/>
    <w:rsid w:val="00922671"/>
    <w:rsid w:val="00A51928"/>
    <w:rsid w:val="00A93C31"/>
    <w:rsid w:val="00AA1D8D"/>
    <w:rsid w:val="00AA77E6"/>
    <w:rsid w:val="00AD14EF"/>
    <w:rsid w:val="00AE544A"/>
    <w:rsid w:val="00B47730"/>
    <w:rsid w:val="00B67792"/>
    <w:rsid w:val="00C36A7A"/>
    <w:rsid w:val="00C60CFF"/>
    <w:rsid w:val="00CB0664"/>
    <w:rsid w:val="00DF51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90A61C"/>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180" w:after="180" w:line="276" w:lineRule="auto"/>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76" w:lineRule="auto"/>
      <w:contextualSpacing/>
    </w:pPr>
    <w:rPr>
      <w:rFonts w:asciiTheme="majorHAnsi" w:eastAsiaTheme="majorEastAsia" w:hAnsiTheme="majorHAnsi" w:cstheme="majorBidi"/>
      <w:b/>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B67792"/>
  </w:style>
  <w:style w:type="paragraph" w:styleId="Revision">
    <w:name w:val="Revision"/>
    <w:hidden/>
    <w:uiPriority w:val="99"/>
    <w:semiHidden/>
    <w:rsid w:val="00A51928"/>
    <w:pPr>
      <w:spacing w:after="0" w:line="240" w:lineRule="auto"/>
    </w:pPr>
    <w:rPr>
      <w:rFonts w:ascii="Times New Roman" w:hAnsi="Times New Roman"/>
      <w:color w:val="000000"/>
      <w:sz w:val="24"/>
    </w:rPr>
  </w:style>
  <w:style w:type="character" w:styleId="CommentReference">
    <w:name w:val="annotation reference"/>
    <w:basedOn w:val="DefaultParagraphFont"/>
    <w:uiPriority w:val="99"/>
    <w:semiHidden/>
    <w:unhideWhenUsed/>
    <w:rsid w:val="00A51928"/>
    <w:rPr>
      <w:sz w:val="16"/>
      <w:szCs w:val="16"/>
    </w:rPr>
  </w:style>
  <w:style w:type="paragraph" w:styleId="CommentText">
    <w:name w:val="annotation text"/>
    <w:basedOn w:val="Normal"/>
    <w:link w:val="CommentTextChar"/>
    <w:uiPriority w:val="99"/>
    <w:semiHidden/>
    <w:unhideWhenUsed/>
    <w:rsid w:val="00A51928"/>
    <w:pPr>
      <w:spacing w:line="240" w:lineRule="auto"/>
    </w:pPr>
    <w:rPr>
      <w:sz w:val="20"/>
      <w:szCs w:val="20"/>
    </w:rPr>
  </w:style>
  <w:style w:type="character" w:customStyle="1" w:styleId="CommentTextChar">
    <w:name w:val="Comment Text Char"/>
    <w:basedOn w:val="DefaultParagraphFont"/>
    <w:link w:val="CommentText"/>
    <w:uiPriority w:val="99"/>
    <w:semiHidden/>
    <w:rsid w:val="00A51928"/>
    <w:rPr>
      <w:rFonts w:ascii="Times New Roman" w:hAnsi="Times New Roman"/>
      <w:color w:val="000000"/>
      <w:sz w:val="20"/>
      <w:szCs w:val="20"/>
    </w:rPr>
  </w:style>
  <w:style w:type="paragraph" w:styleId="CommentSubject">
    <w:name w:val="annotation subject"/>
    <w:basedOn w:val="CommentText"/>
    <w:next w:val="CommentText"/>
    <w:link w:val="CommentSubjectChar"/>
    <w:uiPriority w:val="99"/>
    <w:semiHidden/>
    <w:unhideWhenUsed/>
    <w:rsid w:val="00A51928"/>
    <w:rPr>
      <w:b/>
      <w:bCs/>
    </w:rPr>
  </w:style>
  <w:style w:type="character" w:customStyle="1" w:styleId="CommentSubjectChar">
    <w:name w:val="Comment Subject Char"/>
    <w:basedOn w:val="CommentTextChar"/>
    <w:link w:val="CommentSubject"/>
    <w:uiPriority w:val="99"/>
    <w:semiHidden/>
    <w:rsid w:val="00A51928"/>
    <w:rPr>
      <w:rFonts w:ascii="Times New Roman" w:hAnsi="Times New Roman"/>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1653</Words>
  <Characters>9424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2026-10-11T20:07:00Z</dcterms:created>
  <dcterms:modified xsi:type="dcterms:W3CDTF">2026-10-12T09:08:00Z</dcterms:modified>
  <cp:category/>
</cp:coreProperties>
</file>