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Reading the Patient, Evaluating the System: Nurses’ Trust and Reliance in AI-Assisted Early Warning</w:t>
      </w:r>
    </w:p>
    <w:p>
      <w:pPr>
        <w:spacing w:after="120" w:line="360"/>
      </w:pP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*Corresponding author: Osama Mohamed Elsayed Ramadan, Department of Maternal and Child Health Nursing, College of Nursing, Jouf University, Sakaka, Saudi Arabia. Email: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a commentary on Samy et al.,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1465 words (main text including headings; excluding title, author details, end statements and references). Title: 14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authors of the commentary “Calibrated to what? Feedback asymmetry and the limits of experiential trust in AI-assisted early warning”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recognising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contributes distinctly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it served 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Our interviews explored participants’ accounts of reliance and professional judgement; they did not independently establish the occurrence, frequency or consequences of automation-induced errors. What participants described was the pull towards the aid, including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“experiences of automation bias” in our title refer to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alone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Precisely,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episodes,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We also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As they frame it, their reading is a hypothesis; like ours, it interprets the same accounts, and our interviews cannot show how far each explains the trajectory.</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occasions when their assessment suggested deterioration that the score did not adequately reflect (“The score was fine, but I knew something was wrong”, P09).</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accounts illustrate perceived discordance, rather than independently verified model misses; P14’s sense of knowing “when it would miss” is likewise perceived, not verified. Misses shared by nurse and model may remain unrecognised, and duration of exposure alone does not show whether feedback was complete enough to evaluate the system’s reliability.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missed deterioration may go not only undetected but unlearned. Yet surveillance and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 the same asymmetry; nurse-facing performance reports, as the commentators propose, may help address it, provided outcomes are soundly ascertained and interpreted.</w:t>
      </w:r>
    </w:p>
    <w:p>
      <w:pPr>
        <w:spacing w:after="200" w:before="0" w:line="360"/>
        <w:jc w:val="both"/>
      </w:pPr>
      <w:r>
        <w:rPr>
          <w:rFonts w:ascii="Times New Roman" w:cs="Times New Roman" w:eastAsia="Times New Roman" w:hAnsi="Times New Roman"/>
          <w:b w:val="false"/>
          <w:bCs w:val="false"/>
          <w:sz w:val="24"/>
          <w:szCs w:val="24"/>
        </w:rPr>
        <w:t xml:space="preserve">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apparently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 log may show that escalation without revealing whether it reflected trust, uncertainty or institutional pressure; the account suggests compliance without trust. Conversely, an unrecorded override leaves no rationale to review against what happened next,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BEDSIDE JUDGEMENT AND INDEPENDENT EVALUATION</w:t>
      </w:r>
    </w:p>
    <w:p>
      <w:pPr>
        <w:spacing w:after="200" w:before="0" w:line="360"/>
        <w:jc w:val="both"/>
      </w:pPr>
      <w:r>
        <w:rPr>
          <w:rFonts w:ascii="Times New Roman" w:cs="Times New Roman" w:eastAsia="Times New Roman" w:hAnsi="Times New Roman"/>
          <w:b w:val="false"/>
          <w:bCs w:val="false"/>
          <w:sz w:val="24"/>
          <w:szCs w:val="24"/>
        </w:rPr>
        <w:t xml:space="preserve">For each alert, participants weighed the score against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Bedside judgement guides the clinical response but cannot establish calibration. As the commentators argue, nurse and model can agree and both be wrong, and an assessment anchored by the alert cannot independently judge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Whether trust and reliance correspond to the system’s performance can be established only by independent, outcome-linked evaluation that includes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its estimates do not describe our participants’ general deterioration model,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the commentators’ warning that a field required only for overrides could “make acceptance the implicit default and attach friction to disagreement alone”, a risk our article also named.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Accountability should consider the information available at the time of the decision alongside independent review of subsequent outcomes, rather than conformity with the algorithm alone. We therefore welcome symmetric capture from system logs, linking alerts, and periods without alerts, to nurses’ responses and to independently ascertained deterioration. Logs still need interpretive categories: a log may show that no escalation was recorded, not whether the alert was assessed and judged wrong or never read, which our single-click acknowledgement, extended to every alert, could partly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vignettes are feasible. The trial they cite counsels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although its relevance to nursing surveillance is untested. Our findings suggest what to test: discordant alerts (P09), alarms after suctioning (P17),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independently ascertained misses, separating those nurses recognised from those they did not, would show whether differentiated trust tracks reliability or only visible errors. Such studies should distinguish confidence, reported trust and observed reliance.</w:t>
      </w:r>
    </w:p>
    <w:p>
      <w:pPr>
        <w:spacing w:after="200" w:before="0" w:line="360"/>
        <w:jc w:val="both"/>
      </w:pPr>
      <w:r>
        <w:rPr>
          <w:rFonts w:ascii="Times New Roman" w:cs="Times New Roman" w:eastAsia="Times New Roman" w:hAnsi="Times New Roman"/>
          <w:b w:val="false"/>
          <w:bCs w:val="false"/>
          <w:sz w:val="24"/>
          <w:szCs w:val="24"/>
        </w:rPr>
        <w:t xml:space="preserve">The commentators ask the right question: ‘Calibrated to what?’ Bedside assessment guides the immediate clinical response; independent, outcome-linked evaluation establishes whether trust and reliance correspond to system performance. Our study illuminates nurses’ interpretations and the organisational conditions shaping their responses. The commentary identifies the complementary evidence needed to evaluate their appropriateness.</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Patient, Evaluating the System: Nurses’ Trust and Reliance in AI-Assisted Early Warning</dc:title>
  <dc:creator>Osama Mohamed Elsayed Ramadan</dc:creator>
  <cp:lastModifiedBy>Un-named</cp:lastModifiedBy>
  <cp:revision>1</cp:revision>
  <dcterms:created xsi:type="dcterms:W3CDTF">2026-10-09T06:18:26.631Z</dcterms:created>
  <dcterms:modified xsi:type="dcterms:W3CDTF">2026-10-09T06:18:26.638Z</dcterms:modified>
</cp:coreProperties>
</file>

<file path=docProps/custom.xml><?xml version="1.0" encoding="utf-8"?>
<Properties xmlns="http://schemas.openxmlformats.org/officeDocument/2006/custom-properties" xmlns:vt="http://schemas.openxmlformats.org/officeDocument/2006/docPropsVTypes"/>
</file>