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2 – SUBMITTING THE RESPONSE</w:t>
      </w:r>
    </w:p>
    <w:p>
      <w:pPr>
        <w:spacing w:after="240" w:before="0" w:line="360"/>
        <w:jc w:val="left"/>
      </w:pPr>
      <w:r>
        <w:rPr>
          <w:rFonts w:ascii="Times New Roman" w:cs="Times New Roman" w:eastAsia="Times New Roman" w:hAnsi="Times New Roman"/>
          <w:b w:val="false"/>
          <w:bCs w:val="false"/>
          <w:i/>
          <w:iCs/>
          <w:sz w:val="20"/>
          <w:szCs w:val="20"/>
        </w:rPr>
        <w:t xml:space="preserve">Send no later than 25 October 2026, to everyone in copy on the co-editors’ email, with 01_Response_to_Commentary_NICC.docx attached.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Response to commentary on Samy et al., Nursing in Critical Care 2026;31(5):e70620</w:t>
      </w:r>
    </w:p>
    <w:p>
      <w:pPr>
        <w:spacing w:after="80"/>
      </w:pPr>
      <w:r>
        <w:rPr>
          <w:rFonts w:ascii="Times New Roman" w:cs="Times New Roman" w:eastAsia="Times New Roman" w:hAnsi="Times New Roman"/>
          <w:b/>
          <w:bCs/>
          <w:sz w:val="24"/>
          <w:szCs w:val="24"/>
        </w:rPr>
        <w:t xml:space="preserve">Attachment: </w:t>
      </w:r>
      <w:r>
        <w:rPr>
          <w:rFonts w:ascii="Times New Roman" w:cs="Times New Roman" w:eastAsia="Times New Roman" w:hAnsi="Times New Roman"/>
          <w:b w:val="false"/>
          <w:bCs w:val="false"/>
          <w:sz w:val="24"/>
          <w:szCs w:val="24"/>
        </w:rPr>
        <w:t xml:space="preserve">01_Response_to_Commentary_NICC.docx</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As agreed, please find attached our response to the commentary “Calibrated to what? Feedback asymmetry and the limits of experiential trust in AI-assisted early warning”, which discusses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Our response is entitled “Reading the Patient, Evaluating the System: Nurses’ Trust and Reliance in AI-Assisted Early Warning”. Its main text runs to 1,465 words, including headings and excluding the title (14 words), end statements and references, within the 1,500-word limit. All three authors have read and approved it.</w:t>
      </w:r>
    </w:p>
    <w:p>
      <w:pPr>
        <w:spacing w:after="200" w:before="0" w:line="360"/>
        <w:jc w:val="left"/>
      </w:pPr>
      <w:r>
        <w:rPr>
          <w:rFonts w:ascii="Times New Roman" w:cs="Times New Roman" w:eastAsia="Times New Roman" w:hAnsi="Times New Roman"/>
          <w:b w:val="false"/>
          <w:bCs w:val="false"/>
          <w:sz w:val="24"/>
          <w:szCs w:val="24"/>
        </w:rPr>
        <w:t xml:space="preserve">We are grateful to the commentators for their thoughtful critique. In our response we: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clarify what our interpretive study claimed about nurses’ trust, stating precisely that participants described adjusting their trust through experience, while the accuracy of those adjustments was not evaluated;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engage with the feedback asymmetry they describe and show how it connects with our findings on nursing surveillance and silent override; and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set out where our recommendations converge with theirs, including symmetric, log-based capture of alert outputs, responses and outcomes, nurse-facing performance reports that include missed events, and the evaluation designs needed to test whether nurses’ trust tracks the system’s reliability.</w:t>
      </w:r>
    </w:p>
    <w:p>
      <w:pPr>
        <w:spacing w:after="200" w:before="0" w:line="360"/>
        <w:jc w:val="left"/>
      </w:pPr>
      <w:r>
        <w:rPr>
          <w:rFonts w:ascii="Times New Roman" w:cs="Times New Roman" w:eastAsia="Times New Roman" w:hAnsi="Times New Roman"/>
          <w:b w:val="false"/>
          <w:bCs w:val="false"/>
          <w:sz w:val="24"/>
          <w:szCs w:val="24"/>
        </w:rPr>
        <w:t xml:space="preserve">Because the commentary will be published alongside our response and its bibliographic details are not yet available to us, we identify it by title in the Introduction and have not listed it in the references. Should the journal’s style require a formal citation, we would be grateful if the Editorial Office could add it as reference 1 at its first mention in the Introduction and renumber the remaining references accordingly.</w:t>
      </w:r>
    </w:p>
    <w:p>
      <w:pPr>
        <w:spacing w:after="200" w:before="0" w:line="360"/>
        <w:jc w:val="left"/>
      </w:pPr>
      <w:r>
        <w:rPr>
          <w:rFonts w:ascii="Times New Roman" w:cs="Times New Roman" w:eastAsia="Times New Roman" w:hAnsi="Times New Roman"/>
          <w:b w:val="false"/>
          <w:bCs w:val="false"/>
          <w:sz w:val="24"/>
          <w:szCs w:val="24"/>
        </w:rPr>
        <w:t xml:space="preserve">We would be happy to make any editorial changes you require.</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Attach the final 01_Response_to_Commentary_NICC.docx and confirm that both co-authors have approved that exact version.</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Confirm the Funding statement (“This response received no specific funding”) with your co-authors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Word counts in this email are generated from the response file and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commentary on Samy et al., Nursing in Critical Care 2026;31(5):e70620</dc:title>
  <dc:creator>Osama Mohamed Elsayed Ramadan</dc:creator>
  <cp:lastModifiedBy>Un-named</cp:lastModifiedBy>
  <cp:revision>1</cp:revision>
  <dcterms:created xsi:type="dcterms:W3CDTF">2026-10-09T06:18:26.666Z</dcterms:created>
  <dcterms:modified xsi:type="dcterms:W3CDTF">2026-10-09T06:18:26.666Z</dcterms:modified>
</cp:coreProperties>
</file>

<file path=docProps/custom.xml><?xml version="1.0" encoding="utf-8"?>
<Properties xmlns="http://schemas.openxmlformats.org/officeDocument/2006/custom-properties" xmlns:vt="http://schemas.openxmlformats.org/officeDocument/2006/docPropsVTypes"/>
</file>