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3a0e8c10c405dd53d0e570bcbfcb0c8de7ee9e"/>
    <w:p>
      <w:pPr>
        <w:pStyle w:val="Heading1"/>
      </w:pPr>
      <w:r>
        <w:t xml:space="preserve">2. Methods</w:t>
      </w:r>
    </w:p>
    <w:p>
      <w:pPr>
        <w:pStyle w:val="BlockText"/>
      </w:pPr>
      <w:r>
        <w:rPr>
          <w:bCs/>
          <w:b/>
        </w:rPr>
        <w:t xml:space="preserve">How to use this version.</w:t>
      </w:r>
      <w:r>
        <w:t xml:space="preserve"> </w:t>
      </w:r>
      <w:r>
        <w:t xml:space="preserve">The design logic, definitions, procedures and justifications are written to be internally consistent and defensible. Every study-specific fact appears in</w:t>
      </w:r>
      <w:r>
        <w:t xml:space="preserve"> </w:t>
      </w:r>
      <w:r>
        <w:rPr>
          <w:bCs/>
          <w:b/>
          <w:highlight w:val="yellow"/>
        </w:rPr>
        <w:t>[square brackets]</w:t>
      </w:r>
      <w:r>
        <w:t xml:space="preserve">. This includes counts, durations, locations, site arrangements, approvals, eligibility wording and events. Replace each bracket with the value from the study records. Where a step did not take place, delete it or use the alternative wording provided. Eligibility criteria must be copied from the approved protocol and must not be adjusted to fit the final sample. The completion checklist at the end lists every item to verify.</w:t>
      </w:r>
    </w:p>
    <w:p>
      <w:r>
        <w:pict>
          <v:rect style="width:0;height:1.5pt" o:hralign="center" o:hrstd="t" o:hr="t"/>
        </w:pict>
      </w:r>
    </w:p>
    <w:bookmarkStart w:id="20" w:name="Xf269d188e8623975748b88a370ac803ed3b327b"/>
    <w:p>
      <w:pPr>
        <w:pStyle w:val="Heading2"/>
      </w:pPr>
      <w:r>
        <w:t xml:space="preserve">2.1 Research design and methodological orientation</w:t>
      </w:r>
    </w:p>
    <w:p>
      <w:pPr>
        <w:pStyle w:val="FirstParagraph"/>
      </w:pPr>
      <w:r>
        <w:t xml:space="preserve">This study used Interpretive Description, a qualitative methodology developed within nursing to generate contextually grounded knowledge for practice (Thorne, 2025). It suited a question about how mobilisation decisions are reasoned about in routine postnatal care because it aims for interpretations that clinicians can recognise and use. It also allows existing disciplinary knowledge to frame the inquiry without determining its findings. In keeping with this interpretive orientation, participants' accounts were treated as situated explanations of how decisions were made and revised, not as objective records of events. The study therefore did not assess the clinical appropriateness of individual encounters.</w:t>
      </w:r>
    </w:p>
    <w:p>
      <w:pPr>
        <w:pStyle w:val="BodyText"/>
      </w:pPr>
      <w:r>
        <w:t xml:space="preserve">Relational autonomy (Entwistle et al., 2010; Stoljar and Mackenzie, 2023) and Figure 1 sensitised the inquiry by directing attention to information, the expression of preferences, requests for assistance or reassessment, and constraints on participation. They did not provide codes or expected findings, and the distinctions in Figure 1 were examined against the data during analysis (Section 2.6).</w:t>
      </w:r>
    </w:p>
    <w:p>
      <w:pPr>
        <w:pStyle w:val="BodyText"/>
      </w:pPr>
      <w:r>
        <w:t xml:space="preserve">The phenomenon was reported decisions about first assisted mobilisation and subsequent progression during the initial postoperative admission. The activities included were changing position, sitting on the edge of the bed, transferring, standing and walking. Readiness appraisals, decisions and reconsideration were defined as in Section 1. The study is reported according to the Consolidated Criteria for Reporting Qualitative Research (COREQ; Tong et al., 2007), and the completed checklist is provided in Supplementary File S2.</w:t>
      </w:r>
    </w:p>
    <w:bookmarkEnd w:id="20"/>
    <w:bookmarkStart w:id="21" w:name="Xd514ec84cfa406741dae23a85ea3c8d78ee6da6"/>
    <w:p>
      <w:pPr>
        <w:pStyle w:val="Heading2"/>
      </w:pPr>
      <w:r>
        <w:t xml:space="preserve">2.2 Study setting and mobilisation care pathways</w:t>
      </w:r>
    </w:p>
    <w:p>
      <w:pPr>
        <w:pStyle w:val="FirstParagraph"/>
      </w:pPr>
      <w:r>
        <w:t xml:space="preserve">The study took place in Al-Jouf Region, northern Saudi Arabia. In Saudi Arabia, public hospitals are being organised into regional health clusters under the Health Holding Company (Health Holding Company, n.d.). Private hospitals operate alongside this system. Nurses, midwives and physiotherapists are registered as distinct professions by the Saudi Commission for Health Specialties (SCFHS).</w:t>
      </w:r>
    </w:p>
    <w:p>
      <w:pPr>
        <w:pStyle w:val="BodyText"/>
      </w:pPr>
      <w:r>
        <w:t xml:space="preserve">Hospitals A and B were government hospitals within Al-Jouf Health Cluster. Hospital C was a private regional hospital outside the cluster. All three provided emergency obstetric surgery and had postnatal wards. After surgery, women were cared for in </w:t>
      </w:r>
      <w:r>
        <w:rPr>
          <w:highlight w:val="yellow"/>
        </w:rPr>
        <w:t>[the post-anaesthesia care unit]</w:t>
      </w:r>
      <w:r>
        <w:rPr/>
        <w:t xml:space="preserve"> and then transferred to the postnatal ward, where first assisted mobilisation and progression took place. At the participating hospitals, postnatal ward care was provided by </w:t>
      </w:r>
      <w:r>
        <w:rPr>
          <w:highlight w:val="yellow"/>
        </w:rPr>
        <w:t>[registered nurses working in maternity care]</w:t>
      </w:r>
      <w:r>
        <w:rPr/>
        <w:t xml:space="preserve">, referred to here as maternity nurses. Midwives </w:t>
      </w:r>
      <w:r>
        <w:rPr>
          <w:highlight w:val="yellow"/>
        </w:rPr>
        <w:t>[practised mainly in labour and delivery units]</w:t>
      </w:r>
      <w:r>
        <w:rPr/>
        <w:t xml:space="preserve">. Midwives were therefore not recruited as a separate group. </w:t>
      </w:r>
      <w:r>
        <w:rPr>
          <w:highlight w:val="yellow"/>
        </w:rPr>
        <w:t>[If midwives provided postnatal care at any site, say so and explain how they were treated.]</w:t>
      </w:r>
    </w:p>
    <w:p>
      <w:pPr>
        <w:pStyle w:val="BodyText"/>
      </w:pPr>
      <w:r>
        <w:t xml:space="preserve">At all three sites, the pathway followed the same sequence:</w:t>
      </w:r>
    </w:p>
    <w:p>
      <w:pPr>
        <w:numPr>
          <w:ilvl w:val="0"/>
          <w:numId w:val="1001"/>
        </w:numPr>
        <w:pStyle w:val="Compact"/>
      </w:pPr>
      <w:r>
        <w:rPr>
          <w:bCs/>
          <w:b/>
        </w:rPr>
        <w:t xml:space="preserve">Assessment.</w:t>
      </w:r>
      <w:r>
        <w:t xml:space="preserve"> </w:t>
      </w:r>
      <w:r>
        <w:t xml:space="preserve">A maternity nurse assessed the woman before first assisted mobilisation. The assessment covered </w:t>
      </w:r>
      <w:r>
        <w:rPr>
          <w:highlight w:val="yellow"/>
        </w:rPr>
        <w:t>[vital signs, pain, recovery of sensation and movement after neuraxial anaesthesia, dizziness, bleeding and attachments such as catheters, drains and infusions]</w:t>
      </w:r>
      <w:r>
        <w:rPr/>
        <w:t>.</w:t>
      </w:r>
    </w:p>
    <w:p>
      <w:pPr>
        <w:numPr>
          <w:ilvl w:val="0"/>
          <w:numId w:val="1001"/>
        </w:numPr>
        <w:pStyle w:val="Compact"/>
      </w:pPr>
      <w:r>
        <w:rPr>
          <w:bCs/>
          <w:b/>
        </w:rPr>
        <w:t xml:space="preserve">First mobilisation.</w:t>
      </w:r>
      <w:r>
        <w:t xml:space="preserve"> </w:t>
      </w:r>
      <w:r>
        <w:t xml:space="preserve">The nurse assisted mobilisation, usually progressing in stages.</w:t>
      </w:r>
    </w:p>
    <w:p>
      <w:pPr>
        <w:numPr>
          <w:ilvl w:val="0"/>
          <w:numId w:val="1001"/>
        </w:numPr>
        <w:pStyle w:val="Compact"/>
      </w:pPr>
      <w:r>
        <w:rPr>
          <w:bCs/>
          <w:b/>
        </w:rPr>
        <w:t xml:space="preserve">Adjusting help.</w:t>
      </w:r>
      <w:r>
        <w:t xml:space="preserve"> </w:t>
      </w:r>
      <w:r>
        <w:t xml:space="preserve">The nurse adjusted later assistance according to the woman's symptoms and support needs.</w:t>
      </w:r>
    </w:p>
    <w:p>
      <w:pPr>
        <w:numPr>
          <w:ilvl w:val="0"/>
          <w:numId w:val="1001"/>
        </w:numPr>
        <w:pStyle w:val="Compact"/>
      </w:pPr>
      <w:r>
        <w:rPr>
          <w:bCs/>
          <w:b/>
        </w:rPr>
        <w:t xml:space="preserve">Reassessment.</w:t>
      </w:r>
      <w:r>
        <w:t xml:space="preserve"> </w:t>
      </w:r>
      <w:r>
        <w:t xml:space="preserve">The nurse reassessed the woman </w:t>
      </w:r>
      <w:r>
        <w:rPr>
          <w:highlight w:val="yellow"/>
        </w:rPr>
        <w:t>[each shift and when new symptoms were reported]</w:t>
      </w:r>
      <w:r>
        <w:rPr/>
        <w:t>.</w:t>
      </w:r>
    </w:p>
    <w:p>
      <w:pPr>
        <w:numPr>
          <w:ilvl w:val="0"/>
          <w:numId w:val="1001"/>
        </w:numPr>
        <w:pStyle w:val="Compact"/>
      </w:pPr>
      <w:r>
        <w:rPr>
          <w:bCs/>
          <w:b/>
        </w:rPr>
        <w:t xml:space="preserve">Referral.</w:t>
      </w:r>
      <w:r>
        <w:t xml:space="preserve"> </w:t>
      </w:r>
      <w:r>
        <w:t xml:space="preserve">Physiotherapy was referral-based. Nurses reported additional rehabilitation needs to the obstetric team, which initiated the referral.</w:t>
      </w:r>
    </w:p>
    <w:p>
      <w:pPr>
        <w:numPr>
          <w:ilvl w:val="0"/>
          <w:numId w:val="1001"/>
        </w:numPr>
        <w:pStyle w:val="Compact"/>
      </w:pPr>
      <w:r>
        <w:rPr>
          <w:bCs/>
          <w:b/>
        </w:rPr>
        <w:t xml:space="preserve">Physiotherapy.</w:t>
      </w:r>
      <w:r>
        <w:t xml:space="preserve"> </w:t>
      </w:r>
      <w:r>
        <w:t xml:space="preserve">Physiotherapists assessed movement, gave practical guidance and returned recommendations to the maternity team through </w:t>
      </w:r>
      <w:r>
        <w:rPr>
          <w:highlight w:val="yellow"/>
        </w:rPr>
        <w:t>[the medical record and verbal handover]</w:t>
      </w:r>
      <w:r>
        <w:rPr/>
        <w:t>.</w:t>
      </w:r>
    </w:p>
    <w:p>
      <w:pPr>
        <w:pStyle w:val="FirstParagraph"/>
      </w:pPr>
      <w:r>
        <w:t xml:space="preserve">Hospitals A and B worked within a cluster framework, but each had its own ward-level procedures. Hospital C used its own hospital pathway. The sites differed in </w:t>
      </w:r>
      <w:r>
        <w:rPr>
          <w:highlight w:val="yellow"/>
        </w:rPr>
        <w:t>[referral criteria, physiotherapy availability outside routine hours and reassessment arrangements]</w:t>
      </w:r>
      <w:r>
        <w:rPr/>
        <w:t>. Supplementary File S3 compares the sites on assistance roles, referral criteria, referral initiators, physiotherapy availability and reassessment.</w:t>
      </w:r>
    </w:p>
    <w:p>
      <w:pPr>
        <w:pStyle w:val="BodyText"/>
      </w:pPr>
      <w:r>
        <w:t xml:space="preserve">Pathway descriptions were drawn from </w:t>
      </w:r>
      <w:r>
        <w:rPr>
          <w:highlight w:val="yellow"/>
        </w:rPr>
        <w:t>[ward policies and protocols supplied by each hospital, and a structured site-description form completed with each ward's nurse manager and the physiotherapy lead before data collection]</w:t>
      </w:r>
      <w:r>
        <w:rPr/>
        <w:t>. Where written procedures and reported practice differed, both were recorded.</w:t>
      </w:r>
    </w:p>
    <w:bookmarkEnd w:id="21"/>
    <w:bookmarkStart w:id="28" w:name="X0ec47d24bdeacd7afb2ae363b2734ba4160b89b"/>
    <w:p>
      <w:pPr>
        <w:pStyle w:val="Heading2"/>
      </w:pPr>
      <w:r>
        <w:t xml:space="preserve">2.3 Participants, eligibility, sampling and recruitment</w:t>
      </w:r>
    </w:p>
    <w:bookmarkStart w:id="22" w:name="X2ecf2ca2776db6e67fffeb5eeb5a53d99a01da9"/>
    <w:p>
      <w:pPr>
        <w:pStyle w:val="Heading3"/>
      </w:pPr>
      <w:r>
        <w:t xml:space="preserve">2.3.1 Definition of emergency caesarean birth</w:t>
      </w:r>
    </w:p>
    <w:p>
      <w:pPr>
        <w:pStyle w:val="FirstParagraph"/>
      </w:pPr>
      <w:r>
        <w:t xml:space="preserve">Two separate dimensions were recorded from the medical record:</w:t>
      </w:r>
    </w:p>
    <w:p>
      <w:pPr>
        <w:numPr>
          <w:ilvl w:val="0"/>
          <w:numId w:val="1002"/>
        </w:numPr>
        <w:pStyle w:val="Compact"/>
      </w:pPr>
      <w:r>
        <w:rPr>
          <w:bCs/>
          <w:b/>
        </w:rPr>
        <w:t xml:space="preserve">Whether the caesarean had been planned before admission.</w:t>
      </w:r>
    </w:p>
    <w:p>
      <w:pPr>
        <w:numPr>
          <w:ilvl w:val="0"/>
          <w:numId w:val="1002"/>
        </w:numPr>
        <w:pStyle w:val="Compact"/>
      </w:pPr>
      <w:r>
        <w:rPr>
          <w:bCs/>
          <w:b/>
        </w:rPr>
        <w:t xml:space="preserve">The urgency category at the time of the decision to deliver</w:t>
      </w:r>
      <w:r>
        <w:t xml:space="preserve">, using the four-category classification of Lucas et al. (2000).</w:t>
      </w:r>
    </w:p>
    <w:p>
      <w:pPr>
        <w:pStyle w:val="FirstParagraph"/>
      </w:pPr>
      <w:r>
        <w:t xml:space="preserve">For this study, emergency caesarean birth meant a caesarean that had not been planned before the woman's admission for birth, performed at urgency category 1, 2 or 3. </w:t>
      </w:r>
      <w:r>
        <w:rPr>
          <w:highlight w:val="yellow"/>
        </w:rPr>
        <w:t>[If applied in the approved protocol: Previously planned caesareans brought forward by the onset of labour were excluded as an additional eligibility restriction, whatever urgency category was recorded.]</w:t>
      </w:r>
      <w:r>
        <w:rPr/>
        <w:t xml:space="preserve"> Urgency category was used to describe the sample, not to define eligibility on its own.</w:t>
      </w:r>
    </w:p>
    <w:bookmarkEnd w:id="22"/>
    <w:bookmarkStart w:id="23" w:name="X7a831c7c6055a58afdc8ac561133046535d7958"/>
    <w:p>
      <w:pPr>
        <w:pStyle w:val="Heading3"/>
      </w:pPr>
      <w:r>
        <w:t xml:space="preserve">2.3.2 Eligibility criteria</w:t>
      </w:r>
    </w:p>
    <w:p>
      <w:pPr>
        <w:pStyle w:val="FirstParagraph"/>
      </w:pPr>
      <w:r>
        <w:t xml:space="preserve">The criteria below must match the approved protocol.</w:t>
      </w:r>
    </w:p>
    <w:p>
      <w:pPr>
        <w:pStyle w:val="BodyText"/>
      </w:pPr>
      <w:r>
        <w:rPr>
          <w:bCs/>
          <w:b/>
        </w:rPr>
        <w:t xml:space="preserve">Women</w:t>
      </w:r>
      <w:r>
        <w:t xml:space="preserve"> </w:t>
      </w:r>
      <w:r>
        <w:t xml:space="preserve">were eligible if they:</w:t>
      </w:r>
    </w:p>
    <w:p>
      <w:pPr>
        <w:numPr>
          <w:ilvl w:val="0"/>
          <w:numId w:val="1003"/>
        </w:numPr>
        <w:pStyle w:val="Compact"/>
      </w:pPr>
      <w:r>
        <w:t xml:space="preserve">were aged 18 years or older;</w:t>
      </w:r>
    </w:p>
    <w:p>
      <w:pPr>
        <w:numPr>
          <w:ilvl w:val="0"/>
          <w:numId w:val="1003"/>
        </w:numPr>
        <w:pStyle w:val="Compact"/>
      </w:pPr>
      <w:r>
        <w:t xml:space="preserve">had an emergency caesarean birth, as defined in Section 2.3.1, at a participating hospital;</w:t>
      </w:r>
    </w:p>
    <w:p>
      <w:pPr>
        <w:numPr>
          <w:ilvl w:val="0"/>
          <w:numId w:val="1003"/>
        </w:numPr>
        <w:pStyle w:val="Compact"/>
      </w:pPr>
      <w:r>
        <w:rPr>
          <w:highlight w:val="yellow"/>
        </w:rPr>
        <w:t>[had experienced at least one assisted mobilisation episode during the initial postoperative admission]</w:t>
      </w:r>
      <w:r>
        <w:rPr/>
        <w:t>;</w:t>
      </w:r>
    </w:p>
    <w:p>
      <w:pPr>
        <w:numPr>
          <w:ilvl w:val="0"/>
          <w:numId w:val="1003"/>
        </w:numPr>
        <w:pStyle w:val="Compact"/>
      </w:pPr>
      <w:r>
        <w:t xml:space="preserve">could be interviewed in Arabic or English.</w:t>
      </w:r>
    </w:p>
    <w:p>
      <w:pPr>
        <w:pStyle w:val="FirstParagraph"/>
      </w:pPr>
      <w:r>
        <w:t xml:space="preserve">Under this criterion, the sample included women whose mobilisation was delayed, adapted, paused or initially deferred before later assisted mobilisation. It did not include women who had no assisted mobilisation at any point during admission. </w:t>
      </w:r>
      <w:r>
        <w:rPr>
          <w:highlight w:val="yellow"/>
        </w:rPr>
        <w:t>[If the approved criterion was instead that a mobilisation decision had occurred, state that, and say whether any women in the sample had no assisted mobilisation before discharge.]</w:t>
      </w:r>
    </w:p>
    <w:p>
      <w:pPr>
        <w:pStyle w:val="BodyText"/>
      </w:pPr>
      <w:r>
        <w:t xml:space="preserve">Women were excluded if they lacked capacity to consent, or if they or their infant were critically unwell, because an interview would impose an unacceptable burden.</w:t>
      </w:r>
    </w:p>
    <w:p>
      <w:pPr>
        <w:pStyle w:val="BodyText"/>
      </w:pPr>
      <w:r>
        <w:t xml:space="preserve">Being fit to take part in an interview was considered separately from being ready to mobilise.</w:t>
      </w:r>
    </w:p>
    <w:p>
      <w:pPr>
        <w:pStyle w:val="BodyText"/>
      </w:pPr>
      <w:r>
        <w:rPr>
          <w:bCs/>
          <w:b/>
        </w:rPr>
        <w:t xml:space="preserve">Maternity nurses</w:t>
      </w:r>
      <w:r>
        <w:t xml:space="preserve"> </w:t>
      </w:r>
      <w:r>
        <w:t xml:space="preserve">were eligible if they:</w:t>
      </w:r>
    </w:p>
    <w:p>
      <w:pPr>
        <w:numPr>
          <w:ilvl w:val="0"/>
          <w:numId w:val="1004"/>
        </w:numPr>
        <w:pStyle w:val="Compact"/>
      </w:pPr>
      <w:r>
        <w:t xml:space="preserve">held current SCFHS registration;</w:t>
      </w:r>
    </w:p>
    <w:p>
      <w:pPr>
        <w:numPr>
          <w:ilvl w:val="0"/>
          <w:numId w:val="1004"/>
        </w:numPr>
        <w:pStyle w:val="Compact"/>
      </w:pPr>
      <w:r>
        <w:t xml:space="preserve">had at least </w:t>
      </w:r>
      <w:r>
        <w:rPr>
          <w:highlight w:val="yellow"/>
        </w:rPr>
        <w:t>[six months']</w:t>
      </w:r>
      <w:r>
        <w:rPr/>
        <w:t xml:space="preserve"> experience on a participating postnatal ward;</w:t>
      </w:r>
    </w:p>
    <w:p>
      <w:pPr>
        <w:numPr>
          <w:ilvl w:val="0"/>
          <w:numId w:val="1004"/>
        </w:numPr>
        <w:pStyle w:val="Compact"/>
      </w:pPr>
      <w:r>
        <w:t xml:space="preserve">had assessed or assisted mobilisation after emergency caesarean birth within the preceding </w:t>
      </w:r>
      <w:r>
        <w:rPr>
          <w:highlight w:val="yellow"/>
        </w:rPr>
        <w:t>[three months]</w:t>
      </w:r>
      <w:r>
        <w:rPr/>
        <w:t>.</w:t>
      </w:r>
    </w:p>
    <w:p>
      <w:pPr>
        <w:pStyle w:val="FirstParagraph"/>
      </w:pPr>
      <w:r>
        <w:t xml:space="preserve">Students and temporary agency staff were excluded because they were not continuously involved in ward practice.</w:t>
      </w:r>
    </w:p>
    <w:p>
      <w:pPr>
        <w:pStyle w:val="BodyText"/>
      </w:pPr>
      <w:r>
        <w:rPr>
          <w:bCs/>
          <w:b/>
        </w:rPr>
        <w:t xml:space="preserve">Physiotherapists</w:t>
      </w:r>
      <w:r>
        <w:t xml:space="preserve"> </w:t>
      </w:r>
      <w:r>
        <w:t xml:space="preserve">were eligible if they:</w:t>
      </w:r>
    </w:p>
    <w:p>
      <w:pPr>
        <w:numPr>
          <w:ilvl w:val="0"/>
          <w:numId w:val="1005"/>
        </w:numPr>
        <w:pStyle w:val="Compact"/>
      </w:pPr>
      <w:r>
        <w:t xml:space="preserve">held current SCFHS registration;</w:t>
      </w:r>
    </w:p>
    <w:p>
      <w:pPr>
        <w:numPr>
          <w:ilvl w:val="0"/>
          <w:numId w:val="1005"/>
        </w:numPr>
        <w:pStyle w:val="Compact"/>
      </w:pPr>
      <w:r>
        <w:t xml:space="preserve">had </w:t>
      </w:r>
      <w:r>
        <w:rPr>
          <w:highlight w:val="yellow"/>
        </w:rPr>
        <w:t>[assessed or treated at least one woman after emergency caesarean birth at a participating hospital within the preceding six months]</w:t>
      </w:r>
      <w:r>
        <w:rPr/>
        <w:t>.</w:t>
      </w:r>
    </w:p>
    <w:p>
      <w:pPr>
        <w:pStyle w:val="FirstParagraph"/>
      </w:pPr>
      <w:r>
        <w:rPr>
          <w:highlight w:val="yellow"/>
        </w:rPr>
        <w:t>[If the approved criterion referred to any caesarean birth, state that wording. Report how many physiotherapists described emergency caesarean episodes. In the limitations, discuss any accounts that drew only on elective caesarean care.]</w:t>
      </w:r>
    </w:p>
    <w:bookmarkEnd w:id="23"/>
    <w:bookmarkStart w:id="24" w:name="X938a7561f893f7bc35a4e85781b8c8d89317a1b"/>
    <w:p>
      <w:pPr>
        <w:pStyle w:val="Heading3"/>
      </w:pPr>
      <w:r>
        <w:t xml:space="preserve">2.3.3 Sampling and recruitment</w:t>
      </w:r>
    </w:p>
    <w:p>
      <w:pPr>
        <w:pStyle w:val="FirstParagraph"/>
      </w:pPr>
      <w:r>
        <w:t xml:space="preserve">Purposive sampling was used to achieve variation within each group (Palinkas et al., 2015). The variation sought was:</w:t>
      </w:r>
    </w:p>
    <w:p>
      <w:pPr>
        <w:numPr>
          <w:ilvl w:val="0"/>
          <w:numId w:val="1006"/>
        </w:numPr>
        <w:pStyle w:val="Compact"/>
      </w:pPr>
      <w:r>
        <w:rPr>
          <w:bCs/>
          <w:b/>
        </w:rPr>
        <w:t xml:space="preserve">Women:</w:t>
      </w:r>
      <w:r>
        <w:t xml:space="preserve"> </w:t>
      </w:r>
      <w:r>
        <w:t xml:space="preserve">hospital, parity, urgency category, whether labour preceded surgery, anaesthesia type, timing of first mobilisation, whether progression was straightforward or included pausing, deferral or physiotherapy referral, and infant location.</w:t>
      </w:r>
    </w:p>
    <w:p>
      <w:pPr>
        <w:numPr>
          <w:ilvl w:val="0"/>
          <w:numId w:val="1006"/>
        </w:numPr>
        <w:pStyle w:val="Compact"/>
      </w:pPr>
      <w:r>
        <w:rPr>
          <w:bCs/>
          <w:b/>
        </w:rPr>
        <w:t xml:space="preserve">Nurses:</w:t>
      </w:r>
      <w:r>
        <w:t xml:space="preserve"> </w:t>
      </w:r>
      <w:r>
        <w:t xml:space="preserve">hospital, experience, shift pattern and first language.</w:t>
      </w:r>
    </w:p>
    <w:p>
      <w:pPr>
        <w:numPr>
          <w:ilvl w:val="0"/>
          <w:numId w:val="1006"/>
        </w:numPr>
        <w:pStyle w:val="Compact"/>
      </w:pPr>
      <w:r>
        <w:rPr>
          <w:bCs/>
          <w:b/>
        </w:rPr>
        <w:t xml:space="preserve">Physiotherapists:</w:t>
      </w:r>
      <w:r>
        <w:t xml:space="preserve"> </w:t>
      </w:r>
      <w:r>
        <w:t xml:space="preserve">hospital, experience and how often women's health formed part of their caseload.</w:t>
      </w:r>
    </w:p>
    <w:p>
      <w:pPr>
        <w:pStyle w:val="FirstParagraph"/>
      </w:pPr>
      <w:r>
        <w:t xml:space="preserve">As the analysis developed, recruitment was directed towards episode types that were under-represented.</w:t>
      </w:r>
    </w:p>
    <w:p>
      <w:pPr>
        <w:pStyle w:val="BodyText"/>
      </w:pPr>
      <w:r>
        <w:rPr>
          <w:bCs/>
          <w:b/>
        </w:rPr>
        <w:t xml:space="preserve">Gatekeepers.</w:t>
      </w:r>
      <w:r>
        <w:t xml:space="preserve"> </w:t>
      </w:r>
      <w:r>
        <w:t xml:space="preserve">At each hospital, the postnatal ward nurse manager and the physiotherapy lead acted as gatekeepers. They circulated study information but did not approach individuals.</w:t>
      </w:r>
    </w:p>
    <w:p>
      <w:pPr>
        <w:pStyle w:val="BodyText"/>
      </w:pPr>
      <w:r>
        <w:rPr>
          <w:bCs/>
          <w:b/>
        </w:rPr>
        <w:t xml:space="preserve">Recruiting women.</w:t>
      </w:r>
      <w:r>
        <w:t xml:space="preserve"> </w:t>
      </w:r>
      <w:r>
        <w:t xml:space="preserve">The nurse in charge asked potentially eligible women whether they were willing to hear about the study. With permission, </w:t>
      </w:r>
      <w:r>
        <w:rPr>
          <w:highlight w:val="yellow"/>
        </w:rPr>
        <w:t>[MAA]</w:t>
      </w:r>
      <w:r>
        <w:rPr/>
        <w:t xml:space="preserve"> gave verbal and written information and allowed at least </w:t>
      </w:r>
      <w:r>
        <w:rPr>
          <w:highlight w:val="yellow"/>
        </w:rPr>
        <w:t>[12]</w:t>
      </w:r>
      <w:r>
        <w:rPr/>
        <w:t xml:space="preserve"> hours before seeking consent.</w:t>
      </w:r>
    </w:p>
    <w:p>
      <w:pPr>
        <w:pStyle w:val="BodyText"/>
      </w:pPr>
      <w:r>
        <w:rPr>
          <w:bCs/>
          <w:b/>
        </w:rPr>
        <w:t xml:space="preserve">Recruiting professionals.</w:t>
      </w:r>
      <w:r>
        <w:t xml:space="preserve"> </w:t>
      </w:r>
      <w:r>
        <w:t xml:space="preserve">Nurses and physiotherapists responded directly to the researchers after receiving an information sheet.</w:t>
      </w:r>
    </w:p>
    <w:p>
      <w:pPr>
        <w:pStyle w:val="BodyText"/>
      </w:pPr>
      <w:r>
        <w:rPr>
          <w:bCs/>
          <w:b/>
        </w:rPr>
        <w:t xml:space="preserve">Reducing pressure to take part.</w:t>
      </w:r>
      <w:r>
        <w:t xml:space="preserve"> </w:t>
      </w:r>
      <w:r>
        <w:t xml:space="preserve">The researchers controlled the following:</w:t>
      </w:r>
    </w:p>
    <w:p>
      <w:pPr>
        <w:numPr>
          <w:ilvl w:val="0"/>
          <w:numId w:val="1007"/>
        </w:numPr>
        <w:pStyle w:val="Compact"/>
      </w:pPr>
      <w:r>
        <w:t xml:space="preserve">They held no clinical, managerial or supervisory role at any participating hospital.</w:t>
      </w:r>
    </w:p>
    <w:p>
      <w:pPr>
        <w:numPr>
          <w:ilvl w:val="0"/>
          <w:numId w:val="1007"/>
        </w:numPr>
        <w:pStyle w:val="Compact"/>
      </w:pPr>
      <w:r>
        <w:t xml:space="preserve">Professionals were not recruited through requests from their managers.</w:t>
      </w:r>
    </w:p>
    <w:p>
      <w:pPr>
        <w:numPr>
          <w:ilvl w:val="0"/>
          <w:numId w:val="1007"/>
        </w:numPr>
        <w:pStyle w:val="Compact"/>
      </w:pPr>
      <w:r>
        <w:t xml:space="preserve">The researchers did not inform managers or care teams who had taken part.</w:t>
      </w:r>
    </w:p>
    <w:p>
      <w:pPr>
        <w:numPr>
          <w:ilvl w:val="0"/>
          <w:numId w:val="1007"/>
        </w:numPr>
        <w:pStyle w:val="Compact"/>
      </w:pPr>
      <w:r>
        <w:t xml:space="preserve">Participants were told, verbally and in writing, that declining would not affect their care or employment.</w:t>
      </w:r>
    </w:p>
    <w:p>
      <w:pPr>
        <w:pStyle w:val="FirstParagraph"/>
      </w:pPr>
      <w:r>
        <w:t xml:space="preserve">Because inpatient recruitment and interviews took place on the ward, staff could sometimes have inferred that a woman was taking part. The researchers reduced this visibility where possible, for example by scheduling interviews at quiet times.</w:t>
      </w:r>
    </w:p>
    <w:bookmarkEnd w:id="24"/>
    <w:bookmarkStart w:id="25" w:name="Xa6fd1ee209abd2c8c2ae566f8cd2bb6ae0595e4"/>
    <w:p>
      <w:pPr>
        <w:pStyle w:val="Heading3"/>
      </w:pPr>
      <w:r>
        <w:t xml:space="preserve">2.3.4 Independent accounts</w:t>
      </w:r>
    </w:p>
    <w:p>
      <w:pPr>
        <w:pStyle w:val="FirstParagraph"/>
      </w:pPr>
      <w:r>
        <w:t xml:space="preserve">Each group was recruited separately. Professionals were not recruited because of their involvement in a particular woman's care, and they described episodes from their own practice. Comparisons across groups therefore show patterns of reasoning. They do not corroborate accounts of the same encounter.</w:t>
      </w:r>
    </w:p>
    <w:bookmarkEnd w:id="25"/>
    <w:bookmarkStart w:id="26" w:name="Xb9360d7ed54f1eaaca8ce556c44cdbbb38527ff"/>
    <w:p>
      <w:pPr>
        <w:pStyle w:val="Heading3"/>
      </w:pPr>
      <w:r>
        <w:t xml:space="preserve">2.3.5 Sample size and adequacy</w:t>
      </w:r>
    </w:p>
    <w:p>
      <w:pPr>
        <w:pStyle w:val="FirstParagraph"/>
      </w:pPr>
      <w:r>
        <w:t xml:space="preserve">Sample size was planned using information power (Malterud et al., 2016). This approach holds that fewer participants are needed when the aim is focused, the sample is specific, the dialogue is rich and the analysis is detailed. Empirical studies suggesting that 9 to 17 interviews are often sufficient for focused aims in relatively homogeneous groups (Hennink and Kaiser, 2022) were used only as a reference point, not as a stopping rule.</w:t>
      </w:r>
    </w:p>
    <w:p>
      <w:pPr>
        <w:pStyle w:val="BodyText"/>
      </w:pPr>
      <w:r>
        <w:t xml:space="preserve">The planned ranges were:</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1814"/>
        <w:gridCol w:w="1587"/>
        <w:gridCol w:w="5670"/>
      </w:tblGrid>
      <w:tr>
        <w:trPr>
          <w:tblHeader w:val="true"/>
        </w:trPr>
        <w:tc>
          <w:tcPr>
            <w:tcW w:type="dxa" w:w="1814"/>
          </w:tcPr>
          <w:p>
            <w:pPr>
              <w:pStyle w:val="Compact"/>
              <w:spacing w:line="240" w:lineRule="auto" w:after="40"/>
              <w:jc w:val="left"/>
            </w:pPr>
            <w:r>
              <w:rPr>
                <w:b/>
                <w:sz w:val="20"/>
              </w:rPr>
              <w:t xml:space="preserve">Group</w:t>
            </w:r>
          </w:p>
        </w:tc>
        <w:tc>
          <w:tcPr>
            <w:tcW w:type="dxa" w:w="1587"/>
          </w:tcPr>
          <w:p>
            <w:pPr>
              <w:pStyle w:val="Compact"/>
              <w:spacing w:line="240" w:lineRule="auto" w:after="40"/>
              <w:jc w:val="left"/>
            </w:pPr>
            <w:r>
              <w:rPr>
                <w:b/>
                <w:sz w:val="20"/>
              </w:rPr>
              <w:t xml:space="preserve">Planned range</w:t>
            </w:r>
          </w:p>
        </w:tc>
        <w:tc>
          <w:tcPr>
            <w:tcW w:type="dxa" w:w="5669"/>
          </w:tcPr>
          <w:p>
            <w:pPr>
              <w:pStyle w:val="Compact"/>
              <w:spacing w:line="240" w:lineRule="auto" w:after="40"/>
              <w:jc w:val="left"/>
            </w:pPr>
            <w:r>
              <w:rPr>
                <w:b/>
                <w:sz w:val="20"/>
              </w:rPr>
              <w:t xml:space="preserve">Why</w:t>
            </w:r>
          </w:p>
        </w:tc>
      </w:tr>
      <w:tr>
        <w:tc>
          <w:tcPr>
            <w:tcW w:type="dxa" w:w="1814"/>
          </w:tcPr>
          <w:p>
            <w:pPr>
              <w:pStyle w:val="Compact"/>
              <w:spacing w:line="240" w:lineRule="auto" w:after="40"/>
              <w:jc w:val="left"/>
            </w:pPr>
            <w:r>
              <w:rPr>
                <w:sz w:val="20"/>
              </w:rPr>
              <w:t xml:space="preserve">Women</w:t>
            </w:r>
          </w:p>
        </w:tc>
        <w:tc>
          <w:tcPr>
            <w:tcW w:type="dxa" w:w="1587"/>
          </w:tcPr>
          <w:p>
            <w:pPr>
              <w:pStyle w:val="Compact"/>
              <w:spacing w:line="240" w:lineRule="auto" w:after="40"/>
              <w:jc w:val="left"/>
            </w:pPr>
            <w:r>
              <w:rPr>
                <w:sz w:val="20"/>
              </w:rPr>
              <w:t xml:space="preserve">16–20</w:t>
            </w:r>
          </w:p>
        </w:tc>
        <w:tc>
          <w:tcPr>
            <w:tcW w:type="dxa" w:w="5669"/>
          </w:tcPr>
          <w:p>
            <w:pPr>
              <w:pStyle w:val="Compact"/>
              <w:spacing w:line="240" w:lineRule="auto" w:after="40"/>
              <w:jc w:val="left"/>
            </w:pPr>
            <w:r>
              <w:rPr>
                <w:sz w:val="20"/>
              </w:rPr>
              <w:t xml:space="preserve">Women's accounts were expected to vary most in clinical course, symptoms and newborn-care demands, and needed to come from all three hospitals.</w:t>
            </w:r>
          </w:p>
        </w:tc>
      </w:tr>
      <w:tr>
        <w:tc>
          <w:tcPr>
            <w:tcW w:type="dxa" w:w="1814"/>
          </w:tcPr>
          <w:p>
            <w:pPr>
              <w:pStyle w:val="Compact"/>
              <w:spacing w:line="240" w:lineRule="auto" w:after="40"/>
              <w:jc w:val="left"/>
            </w:pPr>
            <w:r>
              <w:rPr>
                <w:sz w:val="20"/>
              </w:rPr>
              <w:t xml:space="preserve">Maternity nurses</w:t>
            </w:r>
          </w:p>
        </w:tc>
        <w:tc>
          <w:tcPr>
            <w:tcW w:type="dxa" w:w="1587"/>
          </w:tcPr>
          <w:p>
            <w:pPr>
              <w:pStyle w:val="Compact"/>
              <w:spacing w:line="240" w:lineRule="auto" w:after="40"/>
              <w:jc w:val="left"/>
            </w:pPr>
            <w:r>
              <w:rPr>
                <w:sz w:val="20"/>
              </w:rPr>
              <w:t xml:space="preserve">10–14</w:t>
            </w:r>
          </w:p>
        </w:tc>
        <w:tc>
          <w:tcPr>
            <w:tcW w:type="dxa" w:w="5669"/>
          </w:tcPr>
          <w:p>
            <w:pPr>
              <w:pStyle w:val="Compact"/>
              <w:spacing w:line="240" w:lineRule="auto" w:after="40"/>
              <w:jc w:val="left"/>
            </w:pPr>
            <w:r>
              <w:rPr>
                <w:sz w:val="20"/>
              </w:rPr>
              <w:t xml:space="preserve">Nurses are a more homogeneous group, and each could describe many episodes.</w:t>
            </w:r>
          </w:p>
        </w:tc>
      </w:tr>
      <w:tr>
        <w:tc>
          <w:tcPr>
            <w:tcW w:type="dxa" w:w="1814"/>
          </w:tcPr>
          <w:p>
            <w:pPr>
              <w:pStyle w:val="Compact"/>
              <w:spacing w:line="240" w:lineRule="auto" w:after="40"/>
              <w:jc w:val="left"/>
            </w:pPr>
            <w:r>
              <w:rPr>
                <w:sz w:val="20"/>
              </w:rPr>
              <w:t xml:space="preserve">Physiotherapists</w:t>
            </w:r>
          </w:p>
        </w:tc>
        <w:tc>
          <w:tcPr>
            <w:tcW w:type="dxa" w:w="1587"/>
          </w:tcPr>
          <w:p>
            <w:pPr>
              <w:pStyle w:val="Compact"/>
              <w:spacing w:line="240" w:lineRule="auto" w:after="40"/>
              <w:jc w:val="left"/>
            </w:pPr>
            <w:r>
              <w:rPr>
                <w:sz w:val="20"/>
              </w:rPr>
              <w:t xml:space="preserve">6–8, or all eligible if fewer</w:t>
            </w:r>
          </w:p>
        </w:tc>
        <w:tc>
          <w:tcPr>
            <w:tcW w:type="dxa" w:w="5669"/>
          </w:tcPr>
          <w:p>
            <w:pPr>
              <w:pStyle w:val="Compact"/>
              <w:spacing w:line="240" w:lineRule="auto" w:after="40"/>
              <w:jc w:val="left"/>
            </w:pPr>
            <w:r>
              <w:rPr>
                <w:sz w:val="20"/>
              </w:rPr>
              <w:t xml:space="preserve">The eligible group was small, and each physiotherapist held specialised information.</w:t>
            </w:r>
          </w:p>
        </w:tc>
      </w:tr>
    </w:tbl>
    <w:p>
      <w:pPr>
        <w:pStyle w:val="BodyText"/>
      </w:pPr>
      <w:r>
        <w:t xml:space="preserve">The team judged adequacy in analytic meetings and recorded its reasoning. The question was whether the data were rich, specific and varied enough to answer the research question. In particular, the team considered whether the data included:</w:t>
      </w:r>
    </w:p>
    <w:p>
      <w:pPr>
        <w:numPr>
          <w:ilvl w:val="0"/>
          <w:numId w:val="1008"/>
        </w:numPr>
        <w:pStyle w:val="Compact"/>
      </w:pPr>
      <w:r>
        <w:t xml:space="preserve">detailed episodes across the different activities and recovery stages;</w:t>
      </w:r>
    </w:p>
    <w:p>
      <w:pPr>
        <w:numPr>
          <w:ilvl w:val="0"/>
          <w:numId w:val="1008"/>
        </w:numPr>
        <w:pStyle w:val="Compact"/>
      </w:pPr>
      <w:r>
        <w:t xml:space="preserve">episodes in which mobilisation was adapted, paused or deferred, as well as straightforward ones;</w:t>
      </w:r>
    </w:p>
    <w:p>
      <w:pPr>
        <w:numPr>
          <w:ilvl w:val="0"/>
          <w:numId w:val="1008"/>
        </w:numPr>
        <w:pStyle w:val="Compact"/>
      </w:pPr>
      <w:r>
        <w:t xml:space="preserve">each group's perspective on the main decision points, such as first mobilisation, progression, reassessment and referral.</w:t>
      </w:r>
    </w:p>
    <w:p>
      <w:pPr>
        <w:pStyle w:val="FirstParagraph"/>
      </w:pPr>
      <w:r>
        <w:t xml:space="preserve">Interpretations did not have to recur at every site. Interpretations supported across hospitals and groups are reported as such. Insights specific to one group or one hospital are reported with their context.</w:t>
      </w:r>
    </w:p>
    <w:bookmarkEnd w:id="26"/>
    <w:bookmarkStart w:id="27" w:name="Xd5989a90f857e718424bf4e76a0b9f7f10b11d8"/>
    <w:p>
      <w:pPr>
        <w:pStyle w:val="Heading3"/>
      </w:pPr>
      <w:r>
        <w:t xml:space="preserve">2.3.6 Recruitment outcomes</w:t>
      </w:r>
    </w:p>
    <w:p>
      <w:pPr>
        <w:pStyle w:val="FirstParagraph"/>
      </w:pPr>
      <w:r>
        <w:t xml:space="preserve">Table 2 reports recruitment for each group separately, because each group had a different denominator: women approached, and professionals who were eligible or expressed interest. No overall response rate is calculated.</w:t>
      </w:r>
    </w:p>
    <w:p>
      <w:pPr>
        <w:pStyle w:val="BodyText"/>
      </w:pPr>
      <w:r>
        <w:t xml:space="preserve">The final sample comprised </w:t>
      </w:r>
      <w:r>
        <w:rPr>
          <w:highlight w:val="yellow"/>
        </w:rPr>
        <w:t>[n]</w:t>
      </w:r>
      <w:r>
        <w:rPr/>
        <w:t xml:space="preserve"> women, </w:t>
      </w:r>
      <w:r>
        <w:rPr>
          <w:highlight w:val="yellow"/>
        </w:rPr>
        <w:t>[n]</w:t>
      </w:r>
      <w:r>
        <w:rPr/>
        <w:t xml:space="preserve"> maternity nurses and </w:t>
      </w:r>
      <w:r>
        <w:rPr>
          <w:highlight w:val="yellow"/>
        </w:rPr>
        <w:t>[n]</w:t>
      </w:r>
      <w:r>
        <w:rPr/>
        <w:t xml:space="preserve"> physiotherapists. </w:t>
      </w:r>
      <w:r>
        <w:rPr>
          <w:highlight w:val="yellow"/>
        </w:rPr>
        <w:t>[The pilot participants were / were not included in these totals.]</w:t>
      </w:r>
      <w:r>
        <w:rPr/>
        <w:t xml:space="preserve"> Known reasons for non-participation were </w:t>
      </w:r>
      <w:r>
        <w:rPr>
          <w:highlight w:val="yellow"/>
        </w:rPr>
        <w:t>[specify for each group]</w:t>
      </w:r>
      <w:r>
        <w:rPr/>
        <w:t xml:space="preserve">. </w:t>
      </w:r>
      <w:r>
        <w:rPr>
          <w:highlight w:val="yellow"/>
        </w:rPr>
        <w:t>[n]</w:t>
      </w:r>
      <w:r>
        <w:rPr/>
        <w:t xml:space="preserve"> people who agreed to take part withdrew before interview, </w:t>
      </w:r>
      <w:r>
        <w:rPr>
          <w:highlight w:val="yellow"/>
        </w:rPr>
        <w:t>[reason]</w:t>
      </w:r>
      <w:r>
        <w:rPr/>
        <w:t xml:space="preserve">. </w:t>
      </w:r>
      <w:r>
        <w:rPr>
          <w:highlight w:val="yellow"/>
        </w:rPr>
        <w:t>[No participant withdrew after their interview. / n withdrew after interview, and their data were handled as described in Section 2.8.]</w:t>
      </w:r>
    </w:p>
    <w:p>
      <w:pPr>
        <w:pStyle w:val="BodyText"/>
      </w:pPr>
      <w:r>
        <w:t xml:space="preserve">Participant characteristics are reported in aggregate in Table 3.</w:t>
      </w:r>
    </w:p>
    <w:p>
      <w:pPr>
        <w:pStyle w:val="BodyText"/>
      </w:pPr>
      <w:r>
        <w:rPr>
          <w:bCs/>
          <w:b/>
        </w:rPr>
        <w:t xml:space="preserve">Table 2. Recruitment by participant group and hospital</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1587"/>
        <w:gridCol w:w="1814"/>
        <w:gridCol w:w="1360"/>
        <w:gridCol w:w="1247"/>
        <w:gridCol w:w="1020"/>
        <w:gridCol w:w="1020"/>
        <w:gridCol w:w="1020"/>
      </w:tblGrid>
      <w:tr>
        <w:trPr>
          <w:tblHeader w:val="true"/>
        </w:trPr>
        <w:tc>
          <w:tcPr>
            <w:tcW w:type="dxa" w:w="1587"/>
          </w:tcPr>
          <w:p>
            <w:pPr>
              <w:pStyle w:val="Compact"/>
              <w:spacing w:line="240" w:lineRule="auto" w:after="40"/>
              <w:jc w:val="left"/>
            </w:pPr>
            <w:r>
              <w:rPr>
                <w:b/>
                <w:sz w:val="20"/>
              </w:rPr>
              <w:t xml:space="preserve">Group</w:t>
            </w:r>
          </w:p>
        </w:tc>
        <w:tc>
          <w:tcPr>
            <w:tcW w:type="dxa" w:w="1814"/>
          </w:tcPr>
          <w:p>
            <w:pPr>
              <w:pStyle w:val="Compact"/>
              <w:spacing w:line="240" w:lineRule="auto" w:after="40"/>
              <w:jc w:val="left"/>
            </w:pPr>
            <w:r>
              <w:rPr>
                <w:b/>
                <w:sz w:val="20"/>
              </w:rPr>
              <w:t xml:space="preserve">Denominator</w:t>
            </w:r>
          </w:p>
        </w:tc>
        <w:tc>
          <w:tcPr>
            <w:tcW w:type="dxa" w:w="1361"/>
          </w:tcPr>
          <w:p>
            <w:pPr>
              <w:pStyle w:val="Compact"/>
              <w:spacing w:line="240" w:lineRule="auto" w:after="40"/>
              <w:jc w:val="left"/>
            </w:pPr>
            <w:r>
              <w:rPr>
                <w:b/>
                <w:sz w:val="20"/>
              </w:rPr>
              <w:t xml:space="preserve">n in denominator</w:t>
            </w:r>
          </w:p>
        </w:tc>
        <w:tc>
          <w:tcPr>
            <w:tcW w:type="dxa" w:w="1247"/>
          </w:tcPr>
          <w:p>
            <w:pPr>
              <w:pStyle w:val="Compact"/>
              <w:spacing w:line="240" w:lineRule="auto" w:after="40"/>
              <w:jc w:val="left"/>
            </w:pPr>
            <w:r>
              <w:rPr>
                <w:b/>
                <w:sz w:val="20"/>
              </w:rPr>
              <w:t xml:space="preserve">Interviewed</w:t>
            </w:r>
          </w:p>
        </w:tc>
        <w:tc>
          <w:tcPr>
            <w:tcW w:type="dxa" w:w="1020"/>
          </w:tcPr>
          <w:p>
            <w:pPr>
              <w:pStyle w:val="Compact"/>
              <w:spacing w:line="240" w:lineRule="auto" w:after="40"/>
              <w:jc w:val="left"/>
            </w:pPr>
            <w:r>
              <w:rPr>
                <w:b/>
                <w:sz w:val="20"/>
              </w:rPr>
              <w:t xml:space="preserve">Hospital A</w:t>
            </w:r>
          </w:p>
        </w:tc>
        <w:tc>
          <w:tcPr>
            <w:tcW w:type="dxa" w:w="1020"/>
          </w:tcPr>
          <w:p>
            <w:pPr>
              <w:pStyle w:val="Compact"/>
              <w:spacing w:line="240" w:lineRule="auto" w:after="40"/>
              <w:jc w:val="left"/>
            </w:pPr>
            <w:r>
              <w:rPr>
                <w:b/>
                <w:sz w:val="20"/>
              </w:rPr>
              <w:t xml:space="preserve">Hospital B</w:t>
            </w:r>
          </w:p>
        </w:tc>
        <w:tc>
          <w:tcPr>
            <w:tcW w:type="dxa" w:w="1020"/>
          </w:tcPr>
          <w:p>
            <w:pPr>
              <w:pStyle w:val="Compact"/>
              <w:spacing w:line="240" w:lineRule="auto" w:after="40"/>
              <w:jc w:val="left"/>
            </w:pPr>
            <w:r>
              <w:rPr>
                <w:b/>
                <w:sz w:val="20"/>
              </w:rPr>
              <w:t xml:space="preserve">Hospital C</w:t>
            </w:r>
          </w:p>
        </w:tc>
      </w:tr>
      <w:tr>
        <w:tc>
          <w:tcPr>
            <w:tcW w:type="dxa" w:w="1587"/>
          </w:tcPr>
          <w:p>
            <w:pPr>
              <w:pStyle w:val="Compact"/>
              <w:spacing w:line="240" w:lineRule="auto" w:after="40"/>
              <w:jc w:val="left"/>
            </w:pPr>
            <w:r>
              <w:rPr>
                <w:sz w:val="20"/>
              </w:rPr>
              <w:t xml:space="preserve">Women</w:t>
            </w:r>
          </w:p>
        </w:tc>
        <w:tc>
          <w:tcPr>
            <w:tcW w:type="dxa" w:w="1814"/>
          </w:tcPr>
          <w:p>
            <w:pPr>
              <w:pStyle w:val="Compact"/>
              <w:spacing w:line="240" w:lineRule="auto" w:after="40"/>
              <w:jc w:val="left"/>
            </w:pPr>
            <w:r>
              <w:rPr>
                <w:sz w:val="20"/>
              </w:rPr>
              <w:t xml:space="preserve">Approached</w:t>
            </w:r>
          </w:p>
        </w:tc>
        <w:tc>
          <w:tcPr>
            <w:tcW w:type="dxa" w:w="1361"/>
          </w:tcPr>
          <w:p>
            <w:pPr>
              <w:pStyle w:val="Compact"/>
              <w:spacing w:line="240" w:lineRule="auto" w:after="40"/>
              <w:jc w:val="left"/>
            </w:pPr>
            <w:r>
              <w:rPr>
                <w:sz w:val="20"/>
                <w:highlight w:val="yellow"/>
              </w:rPr>
              <w:t>[ ]</w:t>
            </w:r>
          </w:p>
        </w:tc>
        <w:tc>
          <w:tcPr>
            <w:tcW w:type="dxa" w:w="1247"/>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r>
      <w:tr>
        <w:tc>
          <w:tcPr>
            <w:tcW w:type="dxa" w:w="1587"/>
          </w:tcPr>
          <w:p>
            <w:pPr>
              <w:pStyle w:val="Compact"/>
              <w:spacing w:line="240" w:lineRule="auto" w:after="40"/>
              <w:jc w:val="left"/>
            </w:pPr>
            <w:r>
              <w:rPr>
                <w:sz w:val="20"/>
              </w:rPr>
              <w:t xml:space="preserve">Maternity nurses</w:t>
            </w:r>
          </w:p>
        </w:tc>
        <w:tc>
          <w:tcPr>
            <w:tcW w:type="dxa" w:w="1814"/>
          </w:tcPr>
          <w:p>
            <w:pPr>
              <w:pStyle w:val="Compact"/>
              <w:spacing w:line="240" w:lineRule="auto" w:after="40"/>
              <w:jc w:val="left"/>
            </w:pPr>
            <w:r>
              <w:rPr>
                <w:sz w:val="20"/>
              </w:rPr>
              <w:t xml:space="preserve">Expressed interest</w:t>
            </w:r>
          </w:p>
        </w:tc>
        <w:tc>
          <w:tcPr>
            <w:tcW w:type="dxa" w:w="1361"/>
          </w:tcPr>
          <w:p>
            <w:pPr>
              <w:pStyle w:val="Compact"/>
              <w:spacing w:line="240" w:lineRule="auto" w:after="40"/>
              <w:jc w:val="left"/>
            </w:pPr>
            <w:r>
              <w:rPr>
                <w:sz w:val="20"/>
                <w:highlight w:val="yellow"/>
              </w:rPr>
              <w:t>[ ]</w:t>
            </w:r>
          </w:p>
        </w:tc>
        <w:tc>
          <w:tcPr>
            <w:tcW w:type="dxa" w:w="1247"/>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r>
      <w:tr>
        <w:tc>
          <w:tcPr>
            <w:tcW w:type="dxa" w:w="1587"/>
          </w:tcPr>
          <w:p>
            <w:pPr>
              <w:pStyle w:val="Compact"/>
              <w:spacing w:line="240" w:lineRule="auto" w:after="40"/>
              <w:jc w:val="left"/>
            </w:pPr>
            <w:r>
              <w:rPr>
                <w:sz w:val="20"/>
              </w:rPr>
              <w:t xml:space="preserve">Physiotherapists</w:t>
            </w:r>
          </w:p>
        </w:tc>
        <w:tc>
          <w:tcPr>
            <w:tcW w:type="dxa" w:w="1814"/>
          </w:tcPr>
          <w:p>
            <w:pPr>
              <w:pStyle w:val="Compact"/>
              <w:spacing w:line="240" w:lineRule="auto" w:after="40"/>
              <w:jc w:val="left"/>
            </w:pPr>
            <w:r>
              <w:rPr>
                <w:sz w:val="20"/>
              </w:rPr>
              <w:t xml:space="preserve">Eligible / expressed interest</w:t>
            </w:r>
          </w:p>
        </w:tc>
        <w:tc>
          <w:tcPr>
            <w:tcW w:type="dxa" w:w="1361"/>
          </w:tcPr>
          <w:p>
            <w:pPr>
              <w:pStyle w:val="Compact"/>
              <w:spacing w:line="240" w:lineRule="auto" w:after="40"/>
              <w:jc w:val="left"/>
            </w:pPr>
            <w:r>
              <w:rPr>
                <w:sz w:val="20"/>
                <w:highlight w:val="yellow"/>
              </w:rPr>
              <w:t>[ ]</w:t>
            </w:r>
            <w:r>
              <w:rPr>
                <w:sz w:val="20"/>
              </w:rPr>
              <w:t xml:space="preserve"> / </w:t>
            </w:r>
            <w:r>
              <w:rPr>
                <w:sz w:val="20"/>
                <w:highlight w:val="yellow"/>
              </w:rPr>
              <w:t>[ ]</w:t>
            </w:r>
          </w:p>
        </w:tc>
        <w:tc>
          <w:tcPr>
            <w:tcW w:type="dxa" w:w="1247"/>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c>
          <w:tcPr>
            <w:tcW w:type="dxa" w:w="1020"/>
          </w:tcPr>
          <w:p>
            <w:pPr>
              <w:pStyle w:val="Compact"/>
              <w:spacing w:line="240" w:lineRule="auto" w:after="40"/>
              <w:jc w:val="left"/>
            </w:pPr>
            <w:r>
              <w:rPr>
                <w:sz w:val="20"/>
                <w:highlight w:val="yellow"/>
              </w:rPr>
              <w:t>[ ]</w:t>
            </w:r>
          </w:p>
        </w:tc>
      </w:tr>
    </w:tbl>
    <w:bookmarkEnd w:id="27"/>
    <w:bookmarkEnd w:id="28"/>
    <w:bookmarkStart w:id="29" w:name="X223148b246b3b7d5ee1dc3aba2d9f0737efc65f"/>
    <w:p>
      <w:pPr>
        <w:pStyle w:val="Heading2"/>
      </w:pPr>
      <w:r>
        <w:t xml:space="preserve">2.4 Data collection</w:t>
      </w:r>
    </w:p>
    <w:p>
      <w:pPr>
        <w:pStyle w:val="FirstParagraph"/>
      </w:pPr>
      <w:r>
        <w:t xml:space="preserve">Semi-structured individual interviews were conducted between March and September 2026, in Arabic or English according to each participant's preference.</w:t>
      </w:r>
    </w:p>
    <w:p>
      <w:pPr>
        <w:pStyle w:val="BodyText"/>
      </w:pPr>
      <w:r>
        <w:rPr>
          <w:bCs/>
          <w:b/>
        </w:rPr>
        <w:t xml:space="preserve">Inpatient interviews with women.</w:t>
      </w:r>
      <w:r>
        <w:t xml:space="preserve"> </w:t>
      </w:r>
      <w:r>
        <w:t xml:space="preserve">These took place from postoperative day </w:t>
      </w:r>
      <w:r>
        <w:rPr>
          <w:highlight w:val="yellow"/>
        </w:rPr>
        <w:t>[2]</w:t>
      </w:r>
      <w:r>
        <w:rPr/>
        <w:t xml:space="preserve">, after the woman's nurse had confirmed that she was alert, sufficiently comfortable and not recently sedated. The woman also confirmed that she was willing to talk. The interviews were held in </w:t>
      </w:r>
      <w:r>
        <w:rPr>
          <w:highlight w:val="yellow"/>
        </w:rPr>
        <w:t>[a private room (n = [ ]</w:t>
      </w:r>
      <w:r>
        <w:rPr/>
        <w:t xml:space="preserve">) or at the bedside (n = </w:t>
      </w:r>
      <w:r>
        <w:rPr>
          <w:highlight w:val="yellow"/>
        </w:rPr>
        <w:t>[ ]</w:t>
      </w:r>
      <w:r>
        <w:rPr/>
        <w:t>)].</w:t>
      </w:r>
    </w:p>
    <w:p>
      <w:pPr>
        <w:pStyle w:val="BodyText"/>
      </w:pPr>
      <w:r>
        <w:t xml:space="preserve">Curtains reduce visibility but cannot ensure that others do not hear. Bedside interviews were therefore held </w:t>
      </w:r>
      <w:r>
        <w:rPr>
          <w:highlight w:val="yellow"/>
        </w:rPr>
        <w:t>[when neighbouring beds were unoccupied, or at quiet times]</w:t>
      </w:r>
      <w:r>
        <w:rPr/>
        <w:t>. The interviewer spoke at a low volume. Women were reminded that they could pause, move the conversation or defer sensitive topics.</w:t>
      </w:r>
    </w:p>
    <w:p>
      <w:pPr>
        <w:pStyle w:val="BodyText"/>
      </w:pPr>
      <w:r>
        <w:rPr>
          <w:bCs/>
          <w:b/>
        </w:rPr>
        <w:t xml:space="preserve">Remote interviews with women.</w:t>
      </w:r>
      <w:r>
        <w:t xml:space="preserve"> </w:t>
      </w:r>
      <w:r>
        <w:t xml:space="preserve">Women discharged before an interview could be arranged were offered a telephone or video interview within </w:t>
      </w:r>
      <w:r>
        <w:rPr>
          <w:highlight w:val="yellow"/>
        </w:rPr>
        <w:t>[14]</w:t>
      </w:r>
      <w:r>
        <w:rPr/>
        <w:t xml:space="preserve"> days of birth (n = </w:t>
      </w:r>
      <w:r>
        <w:rPr>
          <w:highlight w:val="yellow"/>
        </w:rPr>
        <w:t>[ ]</w:t>
      </w:r>
      <w:r>
        <w:rPr/>
        <w:t>). At the start, the interviewer confirmed that the woman felt well enough to talk and was in a place where she could speak privately.</w:t>
      </w:r>
    </w:p>
    <w:p>
      <w:pPr>
        <w:pStyle w:val="BodyText"/>
      </w:pPr>
      <w:r>
        <w:rPr>
          <w:bCs/>
          <w:b/>
        </w:rPr>
        <w:t xml:space="preserve">Interviews with professionals.</w:t>
      </w:r>
      <w:r>
        <w:t xml:space="preserve"> </w:t>
      </w:r>
      <w:r>
        <w:t xml:space="preserve">Professionals were interviewed face to face in a private room away from the clinical area (n = </w:t>
      </w:r>
      <w:r>
        <w:rPr>
          <w:highlight w:val="yellow"/>
        </w:rPr>
        <w:t>[ ]</w:t>
      </w:r>
      <w:r>
        <w:rPr/>
        <w:t xml:space="preserve">) or by video (n = </w:t>
      </w:r>
      <w:r>
        <w:rPr>
          <w:highlight w:val="yellow"/>
        </w:rPr>
        <w:t>[ ]</w:t>
      </w:r>
      <w:r>
        <w:rPr/>
        <w:t>).</w:t>
      </w:r>
    </w:p>
    <w:p>
      <w:pPr>
        <w:pStyle w:val="BodyText"/>
      </w:pPr>
      <w:r>
        <w:rPr>
          <w:bCs/>
          <w:b/>
        </w:rPr>
        <w:t xml:space="preserve">Interview length.</w:t>
      </w:r>
      <w:r>
        <w:t xml:space="preserve"> </w:t>
      </w:r>
      <w:r>
        <w:t xml:space="preserve">Interviews with women lasted </w:t>
      </w:r>
      <w:r>
        <w:rPr>
          <w:highlight w:val="yellow"/>
        </w:rPr>
        <w:t>[range; median]</w:t>
      </w:r>
      <w:r>
        <w:rPr/>
        <w:t xml:space="preserve"> minutes. Interviews with professionals lasted </w:t>
      </w:r>
      <w:r>
        <w:rPr>
          <w:highlight w:val="yellow"/>
        </w:rPr>
        <w:t>[range; median]</w:t>
      </w:r>
      <w:r>
        <w:rPr/>
        <w:t xml:space="preserve"> minutes.</w:t>
      </w:r>
    </w:p>
    <w:p>
      <w:pPr>
        <w:pStyle w:val="BodyText"/>
      </w:pPr>
      <w:r>
        <w:rPr>
          <w:bCs/>
          <w:b/>
        </w:rPr>
        <w:t xml:space="preserve">Interviewers.</w:t>
      </w:r>
      <w:r>
        <w:t xml:space="preserve"> </w:t>
      </w:r>
      <w:r>
        <w:rPr>
          <w:highlight w:val="yellow"/>
        </w:rPr>
        <w:t>[MAA]</w:t>
      </w:r>
      <w:r>
        <w:rPr/>
        <w:t xml:space="preserve"> interviewed all the women. Interviews with professionals were allocated across disciplines: </w:t>
      </w:r>
      <w:r>
        <w:rPr>
          <w:highlight w:val="yellow"/>
        </w:rPr>
        <w:t>[SOA, a physiotherapist, interviewed nurses, and MAA, a nurse, interviewed physiotherapists]</w:t>
      </w:r>
      <w:r>
        <w:rPr/>
        <w:t>. This arrangement was intended to support critical reflection on professional assumptions; it was not expected to remove them.</w:t>
      </w:r>
    </w:p>
    <w:p>
      <w:pPr>
        <w:pStyle w:val="BodyText"/>
      </w:pPr>
      <w:r>
        <w:rPr>
          <w:bCs/>
          <w:b/>
        </w:rPr>
        <w:t xml:space="preserve">Interview guides.</w:t>
      </w:r>
      <w:r>
        <w:t xml:space="preserve"> </w:t>
      </w:r>
      <w:r>
        <w:t xml:space="preserve">The three guides shared a common structure, so that accounts could be compared across groups. Each guide focused on its group's role: women's bodily experience and newborn-care demands, nurses' assessment and assistance, and physiotherapists' referral and recommendations.</w:t>
      </w:r>
    </w:p>
    <w:p>
      <w:pPr>
        <w:pStyle w:val="BodyText"/>
      </w:pPr>
      <w:r>
        <w:t xml:space="preserve">The guides drew on the study objectives, the sensitising concepts and earlier research (Mørch et al., 2019; Lehmkuhl et al., 2024; Thörn et al., 2025). They were translated into Arabic by </w:t>
      </w:r>
      <w:r>
        <w:rPr>
          <w:highlight w:val="yellow"/>
        </w:rPr>
        <w:t>[MAA]</w:t>
      </w:r>
      <w:r>
        <w:rPr/>
        <w:t xml:space="preserve"> and checked for equivalence of meaning by </w:t>
      </w:r>
      <w:r>
        <w:rPr>
          <w:highlight w:val="yellow"/>
        </w:rPr>
        <w:t>[SOA]</w:t>
      </w:r>
      <w:r>
        <w:rPr/>
        <w:t>, using everyday expressions for getting up and moving.</w:t>
      </w:r>
    </w:p>
    <w:p>
      <w:pPr>
        <w:pStyle w:val="BodyText"/>
      </w:pPr>
      <w:r>
        <w:rPr>
          <w:highlight w:val="yellow"/>
        </w:rPr>
        <w:t>[Piloting with [n]</w:t>
      </w:r>
      <w:r>
        <w:rPr/>
        <w:t xml:space="preserve"> participants led to </w:t>
      </w:r>
      <w:r>
        <w:rPr>
          <w:highlight w:val="yellow"/>
        </w:rPr>
        <w:t>[changes]</w:t>
      </w:r>
      <w:r>
        <w:rPr/>
        <w:t xml:space="preserve">; pilot interviews were </w:t>
      </w:r>
      <w:r>
        <w:rPr>
          <w:highlight w:val="yellow"/>
        </w:rPr>
        <w:t>[included/excluded]</w:t>
      </w:r>
      <w:r>
        <w:rPr/>
        <w:t xml:space="preserve"> because </w:t>
      </w:r>
      <w:r>
        <w:rPr>
          <w:highlight w:val="yellow"/>
        </w:rPr>
        <w:t>[reason]</w:t>
      </w:r>
      <w:r>
        <w:rPr/>
        <w:t xml:space="preserve">.] Prompts added during data collection were </w:t>
      </w:r>
      <w:r>
        <w:rPr>
          <w:highlight w:val="yellow"/>
        </w:rPr>
        <w:t>[describe]</w:t>
      </w:r>
      <w:r>
        <w:rPr/>
        <w:t>. The complete guides and the contextual information form are provided in Supplementary File S1.</w:t>
      </w:r>
    </w:p>
    <w:p>
      <w:pPr>
        <w:pStyle w:val="BodyText"/>
      </w:pPr>
      <w:r>
        <w:rPr>
          <w:bCs/>
          <w:b/>
        </w:rPr>
        <w:t xml:space="preserve">Decision episodes.</w:t>
      </w:r>
      <w:r>
        <w:t xml:space="preserve"> </w:t>
      </w:r>
      <w:r>
        <w:t xml:space="preserve">Each interview centred on specific decision episodes, both routine and difficult. For each episode, prompts covered:</w:t>
      </w:r>
    </w:p>
    <w:p>
      <w:pPr>
        <w:numPr>
          <w:ilvl w:val="0"/>
          <w:numId w:val="1009"/>
        </w:numPr>
        <w:pStyle w:val="Compact"/>
      </w:pPr>
      <w:r>
        <w:t xml:space="preserve">the proposed activity;</w:t>
      </w:r>
    </w:p>
    <w:p>
      <w:pPr>
        <w:numPr>
          <w:ilvl w:val="0"/>
          <w:numId w:val="1009"/>
        </w:numPr>
        <w:pStyle w:val="Compact"/>
      </w:pPr>
      <w:r>
        <w:t xml:space="preserve">the woman's symptoms and concerns;</w:t>
      </w:r>
    </w:p>
    <w:p>
      <w:pPr>
        <w:numPr>
          <w:ilvl w:val="0"/>
          <w:numId w:val="1009"/>
        </w:numPr>
        <w:pStyle w:val="Compact"/>
      </w:pPr>
      <w:r>
        <w:t xml:space="preserve">who contributed to the readiness appraisal;</w:t>
      </w:r>
    </w:p>
    <w:p>
      <w:pPr>
        <w:numPr>
          <w:ilvl w:val="0"/>
          <w:numId w:val="1009"/>
        </w:numPr>
        <w:pStyle w:val="Compact"/>
      </w:pPr>
      <w:r>
        <w:t xml:space="preserve">what was communicated;</w:t>
      </w:r>
    </w:p>
    <w:p>
      <w:pPr>
        <w:numPr>
          <w:ilvl w:val="0"/>
          <w:numId w:val="1009"/>
        </w:numPr>
        <w:pStyle w:val="Compact"/>
      </w:pPr>
      <w:r>
        <w:t xml:space="preserve">what happened;</w:t>
      </w:r>
    </w:p>
    <w:p>
      <w:pPr>
        <w:numPr>
          <w:ilvl w:val="0"/>
          <w:numId w:val="1009"/>
        </w:numPr>
        <w:pStyle w:val="Compact"/>
      </w:pPr>
      <w:r>
        <w:t xml:space="preserve">why the activity went ahead, was adapted, was paused or was deferred;</w:t>
      </w:r>
    </w:p>
    <w:p>
      <w:pPr>
        <w:numPr>
          <w:ilvl w:val="0"/>
          <w:numId w:val="1009"/>
        </w:numPr>
        <w:pStyle w:val="Compact"/>
      </w:pPr>
      <w:r>
        <w:t xml:space="preserve">what later prompted reconsideration.</w:t>
      </w:r>
    </w:p>
    <w:p>
      <w:pPr>
        <w:pStyle w:val="FirstParagraph"/>
      </w:pPr>
      <w:r>
        <w:t xml:space="preserve">Reconsideration was explored retrospectively within the same interview. </w:t>
      </w:r>
      <w:r>
        <w:rPr>
          <w:highlight w:val="yellow"/>
        </w:rPr>
        <w:t>[n]</w:t>
      </w:r>
      <w:r>
        <w:rPr/>
        <w:t xml:space="preserve"> repeat interviews were conducted.</w:t>
      </w:r>
    </w:p>
    <w:p>
      <w:pPr>
        <w:pStyle w:val="BodyText"/>
      </w:pPr>
      <w:r>
        <w:rPr>
          <w:bCs/>
          <w:b/>
        </w:rPr>
        <w:t xml:space="preserve">Recording and field notes.</w:t>
      </w:r>
      <w:r>
        <w:t xml:space="preserve"> </w:t>
      </w:r>
      <w:r>
        <w:t xml:space="preserve">Interviews were audio-recorded, and field notes were written immediately afterwards.</w:t>
      </w:r>
    </w:p>
    <w:p>
      <w:pPr>
        <w:pStyle w:val="BodyText"/>
      </w:pPr>
      <w:r>
        <w:rPr>
          <w:bCs/>
          <w:b/>
        </w:rPr>
        <w:t xml:space="preserve">Companions.</w:t>
      </w:r>
      <w:r>
        <w:t xml:space="preserve"> </w:t>
      </w:r>
      <w:r>
        <w:t xml:space="preserve">Women chose whether a companion was present. Companions were told about the study and asked to agree to their presence being recorded </w:t>
      </w:r>
      <w:r>
        <w:rPr>
          <w:highlight w:val="yellow"/>
        </w:rPr>
        <w:t>[verbally]</w:t>
      </w:r>
      <w:r>
        <w:rPr/>
        <w:t>. They were not participants. Their speech was not coded or quoted as data.</w:t>
      </w:r>
    </w:p>
    <w:p>
      <w:pPr>
        <w:pStyle w:val="BodyText"/>
      </w:pPr>
      <w:r>
        <w:t xml:space="preserve">Companions were present in </w:t>
      </w:r>
      <w:r>
        <w:rPr>
          <w:highlight w:val="yellow"/>
        </w:rPr>
        <w:t>[n]</w:t>
      </w:r>
      <w:r>
        <w:rPr/>
        <w:t xml:space="preserve"> interviews. In those transcripts, companions' speech was marked so that the woman's own account remained distinct. Field notes recorded that a companion was present and any visible influence on the conversation. This information was used only as context when interpreting the woman's account.</w:t>
      </w:r>
    </w:p>
    <w:bookmarkEnd w:id="29"/>
    <w:bookmarkStart w:id="30" w:name="Xf4b4e4d0e6ce308df0511e668274ee6498db057"/>
    <w:p>
      <w:pPr>
        <w:pStyle w:val="Heading2"/>
      </w:pPr>
      <w:r>
        <w:t xml:space="preserve">2.5 Transcription, translation and data management</w:t>
      </w:r>
    </w:p>
    <w:p>
      <w:pPr>
        <w:pStyle w:val="FirstParagraph"/>
      </w:pPr>
      <w:r>
        <w:rPr>
          <w:bCs/>
          <w:b/>
        </w:rPr>
        <w:t xml:space="preserve">Transcription.</w:t>
      </w:r>
      <w:r>
        <w:t xml:space="preserve"> </w:t>
      </w:r>
      <w:r>
        <w:t xml:space="preserve">Recordings were transcribed verbatim in the language of the interview by </w:t>
      </w:r>
      <w:r>
        <w:rPr>
          <w:highlight w:val="yellow"/>
        </w:rPr>
        <w:t>[the interviewer / a bilingual research assistant]</w:t>
      </w:r>
      <w:r>
        <w:rPr/>
        <w:t>. Each transcript was checked against its recording.</w:t>
      </w:r>
    </w:p>
    <w:p>
      <w:pPr>
        <w:pStyle w:val="BodyText"/>
      </w:pPr>
      <w:r>
        <w:rPr>
          <w:bCs/>
          <w:b/>
        </w:rPr>
        <w:t xml:space="preserve">The research assistant's access.</w:t>
      </w:r>
      <w:r>
        <w:t xml:space="preserve"> </w:t>
      </w:r>
      <w:r>
        <w:rPr>
          <w:highlight w:val="yellow"/>
        </w:rPr>
        <w:t>[The research assistant, who signed a confidentiality agreement, received only the recordings assigned for transcription, through [secure transfer method]</w:t>
      </w:r>
      <w:r>
        <w:rPr/>
        <w:t>, and deleted local copies after transcription was checked.]</w:t>
      </w:r>
    </w:p>
    <w:p>
      <w:pPr>
        <w:pStyle w:val="BodyText"/>
      </w:pPr>
      <w:r>
        <w:rPr>
          <w:bCs/>
          <w:b/>
        </w:rPr>
        <w:t xml:space="preserve">De-identification.</w:t>
      </w:r>
      <w:r>
        <w:t xml:space="preserve"> </w:t>
      </w:r>
      <w:r>
        <w:t xml:space="preserve">During transcription, names, places, dates and other identifying details were removed. Participants were given codes: W for women, N for nurses and P for physiotherapists. Hospital was recorded only in a restricted linkage file. Quotations are not attributed to hospital, so that individuals in small professional groups cannot be identified.</w:t>
      </w:r>
    </w:p>
    <w:p>
      <w:pPr>
        <w:pStyle w:val="BodyText"/>
      </w:pPr>
      <w:r>
        <w:rPr>
          <w:bCs/>
          <w:b/>
        </w:rPr>
        <w:t xml:space="preserve">Analysis in the original language.</w:t>
      </w:r>
      <w:r>
        <w:t xml:space="preserve"> </w:t>
      </w:r>
      <w:r>
        <w:rPr>
          <w:highlight w:val="yellow"/>
        </w:rPr>
        <w:t>[n]</w:t>
      </w:r>
      <w:r>
        <w:rPr/>
        <w:t xml:space="preserve"> interviews were in Arabic and </w:t>
      </w:r>
      <w:r>
        <w:rPr>
          <w:highlight w:val="yellow"/>
        </w:rPr>
        <w:t>[n]</w:t>
      </w:r>
      <w:r>
        <w:rPr/>
        <w:t xml:space="preserve"> in English. Arabic transcripts were analysed in Arabic to stay close to participants' meanings (van Nes et al., 2010). Memos and team discussions were written in English, with the original Arabic terms recorded where they mattered.</w:t>
      </w:r>
    </w:p>
    <w:p>
      <w:pPr>
        <w:pStyle w:val="BodyText"/>
      </w:pPr>
      <w:r>
        <w:rPr>
          <w:bCs/>
          <w:b/>
        </w:rPr>
        <w:t xml:space="preserve">Translation of quotations.</w:t>
      </w:r>
      <w:r>
        <w:t xml:space="preserve"> </w:t>
      </w:r>
      <w:r>
        <w:t xml:space="preserve">Only quotations selected for publication were translated (Squires, 2009). </w:t>
      </w:r>
      <w:r>
        <w:rPr>
          <w:highlight w:val="yellow"/>
        </w:rPr>
        <w:t>[MAA]</w:t>
      </w:r>
      <w:r>
        <w:rPr/>
        <w:t xml:space="preserve"> translated each one for meaning, and </w:t>
      </w:r>
      <w:r>
        <w:rPr>
          <w:highlight w:val="yellow"/>
        </w:rPr>
        <w:t>[SOA]</w:t>
      </w:r>
      <w:r>
        <w:rPr/>
        <w:t xml:space="preserve"> independently compared the translation with the original. Disagreements were resolved by discussion. Culturally specific expressions were explained where necessary.</w:t>
      </w:r>
    </w:p>
    <w:p>
      <w:pPr>
        <w:pStyle w:val="BodyText"/>
      </w:pPr>
      <w:r>
        <w:rPr>
          <w:bCs/>
          <w:b/>
        </w:rPr>
        <w:t xml:space="preserve">Storage and access.</w:t>
      </w:r>
      <w:r>
        <w:t xml:space="preserve"> </w:t>
      </w:r>
      <w:r>
        <w:t xml:space="preserve">Identifiable data were stored on </w:t>
      </w:r>
      <w:r>
        <w:rPr>
          <w:highlight w:val="yellow"/>
        </w:rPr>
        <w:t>[an encrypted, password-protected university server]</w:t>
      </w:r>
      <w:r>
        <w:rPr/>
        <w:t>. Consent forms and the linkage file were kept separately. Access was limited to the researchers, plus the research assistant for the assigned recordings only. Any material shared beyond the research team, for external review or with the advisory group, was de-identified.</w:t>
      </w:r>
    </w:p>
    <w:p>
      <w:pPr>
        <w:pStyle w:val="BodyText"/>
      </w:pPr>
      <w:r>
        <w:rPr>
          <w:bCs/>
          <w:b/>
        </w:rPr>
        <w:t xml:space="preserve">Retention.</w:t>
      </w:r>
      <w:r>
        <w:t xml:space="preserve"> </w:t>
      </w:r>
      <w:r>
        <w:t xml:space="preserve">Audio files will be destroyed </w:t>
      </w:r>
      <w:r>
        <w:rPr>
          <w:highlight w:val="yellow"/>
        </w:rPr>
        <w:t>[after publication]</w:t>
      </w:r>
      <w:r>
        <w:rPr/>
        <w:t xml:space="preserve">. De-identified data will be kept for </w:t>
      </w:r>
      <w:r>
        <w:rPr>
          <w:highlight w:val="yellow"/>
        </w:rPr>
        <w:t>[five]</w:t>
      </w:r>
      <w:r>
        <w:rPr/>
        <w:t xml:space="preserve"> years, in line with institutional policy.</w:t>
      </w:r>
    </w:p>
    <w:bookmarkEnd w:id="30"/>
    <w:bookmarkStart w:id="31" w:name="X669525aee500bb7e9c9082c6a9579fe888caf00"/>
    <w:p>
      <w:pPr>
        <w:pStyle w:val="Heading2"/>
      </w:pPr>
      <w:r>
        <w:t xml:space="preserve">2.6 Data analysis</w:t>
      </w:r>
    </w:p>
    <w:p>
      <w:pPr>
        <w:pStyle w:val="FirstParagraph"/>
      </w:pPr>
      <w:r>
        <w:rPr>
          <w:bCs/>
          <w:b/>
        </w:rPr>
        <w:t xml:space="preserve">Approach.</w:t>
      </w:r>
      <w:r>
        <w:t xml:space="preserve"> </w:t>
      </w:r>
      <w:r>
        <w:t xml:space="preserve">Analysis followed the iterative logic of Interpretive Description (Thorne, 2025) and proceeded alongside data collection, so that early interpretations informed later sampling and refinement of the interview prompts. The aim was to interpret the reasoning and circumstances surrounding decisions, rather than to list barriers or experiences.</w:t>
      </w:r>
    </w:p>
    <w:p>
      <w:pPr>
        <w:pStyle w:val="BodyText"/>
      </w:pPr>
      <w:r>
        <w:rPr>
          <w:bCs/>
          <w:b/>
        </w:rPr>
        <w:t xml:space="preserve">Coding.</w:t>
      </w:r>
      <w:r>
        <w:t xml:space="preserve"> </w:t>
      </w:r>
      <w:r>
        <w:t xml:space="preserve">Each transcript was read as a whole, together with its field notes. Inductive codes were then developed, kept close to participants' language at first, and grouped only once relationships between them became apparent. Analytic memos recorded the developing ideas and questions.</w:t>
      </w:r>
    </w:p>
    <w:p>
      <w:pPr>
        <w:pStyle w:val="BodyText"/>
      </w:pPr>
      <w:r>
        <w:rPr>
          <w:bCs/>
          <w:b/>
        </w:rPr>
        <w:t xml:space="preserve">Defining an episode.</w:t>
      </w:r>
      <w:r>
        <w:t xml:space="preserve"> </w:t>
      </w:r>
      <w:r>
        <w:t xml:space="preserve">An episode was one proposed activity at one point in time, followed from proposal to outcome. The outcome could be attempting, assisting, adapting, pausing or deferring the activity. Three rules applied:</w:t>
      </w:r>
    </w:p>
    <w:p>
      <w:pPr>
        <w:numPr>
          <w:ilvl w:val="0"/>
          <w:numId w:val="1010"/>
        </w:numPr>
        <w:pStyle w:val="Compact"/>
      </w:pPr>
      <w:r>
        <w:rPr>
          <w:bCs/>
          <w:b/>
        </w:rPr>
        <w:t xml:space="preserve">Separate decisions.</w:t>
      </w:r>
      <w:r>
        <w:t xml:space="preserve"> </w:t>
      </w:r>
      <w:r>
        <w:t xml:space="preserve">When a continuous sequence, such as sitting, then standing, then walking, involved a separately reported appraisal or decision at each step, each step was treated as a separate episode. If no separate appraisal or decision was reported, the sequence was one episode.</w:t>
      </w:r>
    </w:p>
    <w:p>
      <w:pPr>
        <w:numPr>
          <w:ilvl w:val="0"/>
          <w:numId w:val="1010"/>
        </w:numPr>
        <w:pStyle w:val="Compact"/>
      </w:pPr>
      <w:r>
        <w:rPr>
          <w:bCs/>
          <w:b/>
        </w:rPr>
        <w:t xml:space="preserve">Repeated descriptions.</w:t>
      </w:r>
      <w:r>
        <w:t xml:space="preserve"> </w:t>
      </w:r>
      <w:r>
        <w:t xml:space="preserve">When a participant described the same episode more than once, the descriptions were merged.</w:t>
      </w:r>
    </w:p>
    <w:p>
      <w:pPr>
        <w:numPr>
          <w:ilvl w:val="0"/>
          <w:numId w:val="1010"/>
        </w:numPr>
        <w:pStyle w:val="Compact"/>
      </w:pPr>
      <w:r>
        <w:rPr>
          <w:bCs/>
          <w:b/>
        </w:rPr>
        <w:t xml:space="preserve">Professionals' examples.</w:t>
      </w:r>
      <w:r>
        <w:t xml:space="preserve"> </w:t>
      </w:r>
      <w:r>
        <w:t xml:space="preserve">A professional's general description of usual practice was coded as an account of practice, not as an episode. Only descriptions of specific occasions were entered as episodes.</w:t>
      </w:r>
    </w:p>
    <w:p>
      <w:pPr>
        <w:pStyle w:val="FirstParagraph"/>
      </w:pPr>
      <w:r>
        <w:rPr>
          <w:bCs/>
          <w:b/>
        </w:rPr>
        <w:t xml:space="preserve">The episode matrix.</w:t>
      </w:r>
      <w:r>
        <w:t xml:space="preserve"> </w:t>
      </w:r>
      <w:r>
        <w:t xml:space="preserve">Each episode was summarised in a matrix with the following columns:</w:t>
      </w:r>
    </w:p>
    <w:p>
      <w:pPr>
        <w:numPr>
          <w:ilvl w:val="0"/>
          <w:numId w:val="1011"/>
        </w:numPr>
        <w:pStyle w:val="Compact"/>
      </w:pPr>
      <w:r>
        <w:t xml:space="preserve">activity;</w:t>
      </w:r>
    </w:p>
    <w:p>
      <w:pPr>
        <w:numPr>
          <w:ilvl w:val="0"/>
          <w:numId w:val="1011"/>
        </w:numPr>
        <w:pStyle w:val="Compact"/>
      </w:pPr>
      <w:r>
        <w:t xml:space="preserve">recovery stage;</w:t>
      </w:r>
    </w:p>
    <w:p>
      <w:pPr>
        <w:numPr>
          <w:ilvl w:val="0"/>
          <w:numId w:val="1011"/>
        </w:numPr>
        <w:pStyle w:val="Compact"/>
      </w:pPr>
      <w:r>
        <w:t xml:space="preserve">the appraisals reported and who made them;</w:t>
      </w:r>
    </w:p>
    <w:p>
      <w:pPr>
        <w:numPr>
          <w:ilvl w:val="0"/>
          <w:numId w:val="1011"/>
        </w:numPr>
        <w:pStyle w:val="Compact"/>
      </w:pPr>
      <w:r>
        <w:t xml:space="preserve">the information and concerns behind each appraisal;</w:t>
      </w:r>
    </w:p>
    <w:p>
      <w:pPr>
        <w:numPr>
          <w:ilvl w:val="0"/>
          <w:numId w:val="1011"/>
        </w:numPr>
        <w:pStyle w:val="Compact"/>
      </w:pPr>
      <w:r>
        <w:t xml:space="preserve">the action taken;</w:t>
      </w:r>
    </w:p>
    <w:p>
      <w:pPr>
        <w:numPr>
          <w:ilvl w:val="0"/>
          <w:numId w:val="1011"/>
        </w:numPr>
        <w:pStyle w:val="Compact"/>
      </w:pPr>
      <w:r>
        <w:t xml:space="preserve">the reasons given;</w:t>
      </w:r>
    </w:p>
    <w:p>
      <w:pPr>
        <w:numPr>
          <w:ilvl w:val="0"/>
          <w:numId w:val="1011"/>
        </w:numPr>
        <w:pStyle w:val="Compact"/>
      </w:pPr>
      <w:r>
        <w:t xml:space="preserve">any reconsideration and what prompted it.</w:t>
      </w:r>
    </w:p>
    <w:p>
      <w:pPr>
        <w:pStyle w:val="FirstParagraph"/>
      </w:pPr>
      <w:r>
        <w:t xml:space="preserve">The matrix separated what was judged from what was done. It also showed where similar appraisals led to different actions. Episodes are nested within participants' accounts, so they are not independent observations. Each matrix row was therefore linked to its participant and read in the context of that whole account. The matrix supported interpretation and was not used for frequency claims. Supplementary File S4 shows an anonymised trace from an account extract to an episode summary to an interpretation.</w:t>
      </w:r>
    </w:p>
    <w:p>
      <w:pPr>
        <w:pStyle w:val="BodyText"/>
      </w:pPr>
      <w:r>
        <w:rPr>
          <w:bCs/>
          <w:b/>
        </w:rPr>
        <w:t xml:space="preserve">Comparisons.</w:t>
      </w:r>
      <w:r>
        <w:t xml:space="preserve"> </w:t>
      </w:r>
      <w:r>
        <w:t xml:space="preserve">Comparison was made at three levels:</w:t>
      </w:r>
    </w:p>
    <w:p>
      <w:pPr>
        <w:numPr>
          <w:ilvl w:val="0"/>
          <w:numId w:val="1012"/>
        </w:numPr>
        <w:pStyle w:val="Compact"/>
      </w:pPr>
      <w:r>
        <w:t xml:space="preserve">within each account, across successive activities;</w:t>
      </w:r>
    </w:p>
    <w:p>
      <w:pPr>
        <w:numPr>
          <w:ilvl w:val="0"/>
          <w:numId w:val="1012"/>
        </w:numPr>
        <w:pStyle w:val="Compact"/>
      </w:pPr>
      <w:r>
        <w:t xml:space="preserve">within each group, for example by hospital or clinical course;</w:t>
      </w:r>
    </w:p>
    <w:p>
      <w:pPr>
        <w:numPr>
          <w:ilvl w:val="0"/>
          <w:numId w:val="1012"/>
        </w:numPr>
        <w:pStyle w:val="Compact"/>
      </w:pPr>
      <w:r>
        <w:t xml:space="preserve">across groups.</w:t>
      </w:r>
    </w:p>
    <w:p>
      <w:pPr>
        <w:pStyle w:val="FirstParagraph"/>
      </w:pPr>
      <w:r>
        <w:t xml:space="preserve">Because accounts were recruited independently, comparisons across groups were read as patterns of reasoning, not as competing versions of shared events. Comparisons by activity, recovery stage and service context were made where the data supported them, for example episodes within and outside physiotherapy hours.</w:t>
      </w:r>
    </w:p>
    <w:p>
      <w:pPr>
        <w:pStyle w:val="BodyText"/>
      </w:pPr>
      <w:r>
        <w:rPr>
          <w:bCs/>
          <w:b/>
        </w:rPr>
        <w:t xml:space="preserve">Testing interpretations.</w:t>
      </w:r>
      <w:r>
        <w:t xml:space="preserve"> </w:t>
      </w:r>
      <w:r>
        <w:t xml:space="preserve">Interpretations were tested against the whole data set. The team looked for episodes of agreement, routine episodes and accounts that did not fit. For each main interpretation, it considered alternative explanations, such as staffing pressures or family preferences. The team also examined whether the distinctions in Figure 1 held up in participants' accounts.</w:t>
      </w:r>
    </w:p>
    <w:p>
      <w:pPr>
        <w:pStyle w:val="BodyText"/>
      </w:pPr>
      <w:r>
        <w:rPr>
          <w:bCs/>
          <w:b/>
        </w:rPr>
        <w:t xml:space="preserve">Analysts and software.</w:t>
      </w:r>
      <w:r>
        <w:t xml:space="preserve"> </w:t>
      </w:r>
      <w:r>
        <w:rPr>
          <w:highlight w:val="yellow"/>
        </w:rPr>
        <w:t>[MAA and SOA both coded all transcripts.]</w:t>
      </w:r>
      <w:r>
        <w:rPr/>
        <w:t xml:space="preserve"> Differences between the two coders were discussed to broaden interpretation. Agreement between coders was not calculated. Data were managed in </w:t>
      </w:r>
      <w:r>
        <w:rPr>
          <w:highlight w:val="yellow"/>
        </w:rPr>
        <w:t>[software and version]</w:t>
      </w:r>
      <w:r>
        <w:rPr/>
        <w:t>.</w:t>
      </w:r>
    </w:p>
    <w:bookmarkEnd w:id="31"/>
    <w:bookmarkStart w:id="34" w:name="Xb6040c0b1ddf50abb7140b1b1f25add6314b020"/>
    <w:p>
      <w:pPr>
        <w:pStyle w:val="Heading2"/>
      </w:pPr>
      <w:r>
        <w:t xml:space="preserve">2.7 Researcher reflexivity and methodological rigour</w:t>
      </w:r>
    </w:p>
    <w:bookmarkStart w:id="32" w:name="researcher-reflexivity"/>
    <w:p>
      <w:pPr>
        <w:pStyle w:val="Heading3"/>
      </w:pPr>
      <w:r>
        <w:t xml:space="preserve">Researcher reflexivity</w:t>
      </w:r>
    </w:p>
    <w:p>
      <w:pPr>
        <w:pStyle w:val="FirstParagraph"/>
      </w:pPr>
      <w:r>
        <w:rPr>
          <w:bCs/>
          <w:b/>
        </w:rPr>
        <w:t xml:space="preserve">Backgrounds.</w:t>
      </w:r>
      <w:r>
        <w:t xml:space="preserve"> </w:t>
      </w:r>
      <w:r>
        <w:t xml:space="preserve">MAA is a nurse and faculty member in maternal and child health nursing. SOA is a physiotherapist and faculty member in physiotherapy. </w:t>
      </w:r>
      <w:r>
        <w:rPr>
          <w:highlight w:val="yellow"/>
        </w:rPr>
        <w:t>[Insert each author's qualifications, clinical background and qualitative research experience.]</w:t>
      </w:r>
      <w:r>
        <w:rPr/>
        <w:t xml:space="preserve"> Both are Arabic-speaking Saudi women fluent in English.</w:t>
      </w:r>
    </w:p>
    <w:p>
      <w:pPr>
        <w:pStyle w:val="BodyText"/>
      </w:pPr>
      <w:r>
        <w:rPr>
          <w:bCs/>
          <w:b/>
        </w:rPr>
        <w:t xml:space="preserve">Relationship to the setting.</w:t>
      </w:r>
      <w:r>
        <w:t xml:space="preserve"> </w:t>
      </w:r>
      <w:r>
        <w:t xml:space="preserve">Neither author held a clinical, supervisory or managerial role at the participating hospitals. Because some professionals may have been former Jouf University students, interviews were allocated so that no professional was interviewed by a former teacher.</w:t>
      </w:r>
    </w:p>
    <w:p>
      <w:pPr>
        <w:pStyle w:val="BodyText"/>
      </w:pPr>
      <w:r>
        <w:rPr>
          <w:bCs/>
          <w:b/>
        </w:rPr>
        <w:t xml:space="preserve">What participants were told.</w:t>
      </w:r>
      <w:r>
        <w:t xml:space="preserve"> </w:t>
      </w:r>
      <w:r>
        <w:t xml:space="preserve">Participants knew the researchers' professions and university affiliation, the study's purpose, and that the researchers were not evaluating individual practice.</w:t>
      </w:r>
    </w:p>
    <w:p>
      <w:pPr>
        <w:pStyle w:val="BodyText"/>
      </w:pPr>
      <w:r>
        <w:rPr>
          <w:bCs/>
          <w:b/>
        </w:rPr>
        <w:t xml:space="preserve">Examining assumptions.</w:t>
      </w:r>
      <w:r>
        <w:t xml:space="preserve"> </w:t>
      </w:r>
      <w:r>
        <w:t xml:space="preserve">Before data collection, each author recorded her assumptions about:</w:t>
      </w:r>
    </w:p>
    <w:p>
      <w:pPr>
        <w:numPr>
          <w:ilvl w:val="0"/>
          <w:numId w:val="1013"/>
        </w:numPr>
        <w:pStyle w:val="Compact"/>
      </w:pPr>
      <w:r>
        <w:t xml:space="preserve">the benefits of early mobilisation;</w:t>
      </w:r>
    </w:p>
    <w:p>
      <w:pPr>
        <w:numPr>
          <w:ilvl w:val="0"/>
          <w:numId w:val="1013"/>
        </w:numPr>
        <w:pStyle w:val="Compact"/>
      </w:pPr>
      <w:r>
        <w:t xml:space="preserve">the meaning of women's reluctance to move;</w:t>
      </w:r>
    </w:p>
    <w:p>
      <w:pPr>
        <w:numPr>
          <w:ilvl w:val="0"/>
          <w:numId w:val="1013"/>
        </w:numPr>
        <w:pStyle w:val="Compact"/>
      </w:pPr>
      <w:r>
        <w:t xml:space="preserve">the role of physiotherapy;</w:t>
      </w:r>
    </w:p>
    <w:p>
      <w:pPr>
        <w:numPr>
          <w:ilvl w:val="0"/>
          <w:numId w:val="1013"/>
        </w:numPr>
        <w:pStyle w:val="Compact"/>
      </w:pPr>
      <w:r>
        <w:t xml:space="preserve">the weight given to women's preferences.</w:t>
      </w:r>
    </w:p>
    <w:p>
      <w:pPr>
        <w:pStyle w:val="FirstParagraph"/>
      </w:pPr>
      <w:r>
        <w:t xml:space="preserve">These statements, together with reflexive journals (Olmos-Vega et al., 2023), were revisited in analytic meetings. </w:t>
      </w:r>
      <w:r>
        <w:rPr>
          <w:highlight w:val="yellow"/>
        </w:rPr>
        <w:t>[Give one or two concrete examples of how reflexive discussion changed coding or interpretation.]</w:t>
      </w:r>
    </w:p>
    <w:bookmarkEnd w:id="32"/>
    <w:bookmarkStart w:id="33" w:name="methodological-rigour"/>
    <w:p>
      <w:pPr>
        <w:pStyle w:val="Heading3"/>
      </w:pPr>
      <w:r>
        <w:t xml:space="preserve">Methodological rigour</w:t>
      </w:r>
    </w:p>
    <w:p>
      <w:pPr>
        <w:pStyle w:val="FirstParagraph"/>
      </w:pPr>
      <w:r>
        <w:rPr>
          <w:bCs/>
          <w:b/>
        </w:rPr>
        <w:t xml:space="preserve">Thorne's criteria.</w:t>
      </w:r>
      <w:r>
        <w:t xml:space="preserve"> </w:t>
      </w:r>
      <w:r>
        <w:t xml:space="preserve">Rigour was guided by the criteria Thorne (2025) sets out for Interpretive Description:</w:t>
      </w:r>
    </w:p>
    <w:p>
      <w:pPr>
        <w:numPr>
          <w:ilvl w:val="0"/>
          <w:numId w:val="1014"/>
        </w:numPr>
        <w:pStyle w:val="Compact"/>
      </w:pPr>
      <w:r>
        <w:rPr>
          <w:bCs/>
          <w:b/>
        </w:rPr>
        <w:t xml:space="preserve">Epistemological integrity.</w:t>
      </w:r>
      <w:r>
        <w:t xml:space="preserve"> </w:t>
      </w:r>
      <w:r>
        <w:t xml:space="preserve">The research question, interview approach, analysis and claims were kept consistent with one another.</w:t>
      </w:r>
    </w:p>
    <w:p>
      <w:pPr>
        <w:numPr>
          <w:ilvl w:val="0"/>
          <w:numId w:val="1014"/>
        </w:numPr>
        <w:pStyle w:val="Compact"/>
      </w:pPr>
      <w:r>
        <w:rPr>
          <w:bCs/>
          <w:b/>
        </w:rPr>
        <w:t xml:space="preserve">Representative credibility.</w:t>
      </w:r>
      <w:r>
        <w:t xml:space="preserve"> </w:t>
      </w:r>
      <w:r>
        <w:t xml:space="preserve">Variation was sought across sites, groups and clinical courses.</w:t>
      </w:r>
    </w:p>
    <w:p>
      <w:pPr>
        <w:numPr>
          <w:ilvl w:val="0"/>
          <w:numId w:val="1014"/>
        </w:numPr>
        <w:pStyle w:val="Compact"/>
      </w:pPr>
      <w:r>
        <w:rPr>
          <w:bCs/>
          <w:b/>
        </w:rPr>
        <w:t xml:space="preserve">Analytic logic.</w:t>
      </w:r>
      <w:r>
        <w:t xml:space="preserve"> </w:t>
      </w:r>
      <w:r>
        <w:t xml:space="preserve">An audit trail documented the reasoning, including dated versions of the interview guides, field notes, memos, the episode matrix, analytic meeting notes and successive versions of the interpretations.</w:t>
      </w:r>
    </w:p>
    <w:p>
      <w:pPr>
        <w:numPr>
          <w:ilvl w:val="0"/>
          <w:numId w:val="1014"/>
        </w:numPr>
        <w:pStyle w:val="Compact"/>
      </w:pPr>
      <w:r>
        <w:rPr>
          <w:bCs/>
          <w:b/>
        </w:rPr>
        <w:t xml:space="preserve">Interpretive authority.</w:t>
      </w:r>
      <w:r>
        <w:t xml:space="preserve"> </w:t>
      </w:r>
      <w:r>
        <w:t xml:space="preserve">Competing explanations were considered and recorded.</w:t>
      </w:r>
    </w:p>
    <w:p>
      <w:pPr>
        <w:pStyle w:val="FirstParagraph"/>
      </w:pPr>
      <w:r>
        <w:rPr>
          <w:bCs/>
          <w:b/>
        </w:rPr>
        <w:t xml:space="preserve">Transferability.</w:t>
      </w:r>
      <w:r>
        <w:t xml:space="preserve"> </w:t>
      </w:r>
      <w:r>
        <w:t xml:space="preserve">Readers can judge whether the findings transfer to their own settings using the setting description (Section 2.2 and Supplementary File S3) and the aggregated participant characteristics. Quotations were chosen to show both typical and contrasting accounts.</w:t>
      </w:r>
    </w:p>
    <w:p>
      <w:pPr>
        <w:pStyle w:val="BodyText"/>
      </w:pPr>
      <w:r>
        <w:rPr>
          <w:bCs/>
          <w:b/>
        </w:rPr>
        <w:t xml:space="preserve">External review.</w:t>
      </w:r>
      <w:r>
        <w:t xml:space="preserve"> </w:t>
      </w:r>
      <w:r>
        <w:rPr>
          <w:highlight w:val="yellow"/>
        </w:rPr>
        <w:t>[A qualitative researcher who was not part of the study reviewed de-identified material and preliminary interpretations, which led to [effect]</w:t>
      </w:r>
      <w:r>
        <w:rPr/>
        <w:t xml:space="preserve">.] </w:t>
      </w:r>
      <w:r>
        <w:rPr>
          <w:highlight w:val="yellow"/>
        </w:rPr>
        <w:t>[Delete if this did not take place.]</w:t>
      </w:r>
    </w:p>
    <w:p>
      <w:pPr>
        <w:pStyle w:val="BodyText"/>
      </w:pPr>
      <w:r>
        <w:rPr>
          <w:bCs/>
          <w:b/>
        </w:rPr>
        <w:t xml:space="preserve">Member checking.</w:t>
      </w:r>
      <w:r>
        <w:t xml:space="preserve"> </w:t>
      </w:r>
      <w:r>
        <w:t xml:space="preserve">Participants were not asked to validate the findings, because the interpretations synthesise many accounts (Thorne, 2025).</w:t>
      </w:r>
    </w:p>
    <w:bookmarkEnd w:id="33"/>
    <w:bookmarkEnd w:id="34"/>
    <w:bookmarkStart w:id="35" w:name="X3573d9c3c5065fe05b9941060e79065f019e6a7"/>
    <w:p>
      <w:pPr>
        <w:pStyle w:val="Heading2"/>
      </w:pPr>
      <w:r>
        <w:t xml:space="preserve">2.8 Ethical considerations</w:t>
      </w:r>
    </w:p>
    <w:p>
      <w:pPr>
        <w:pStyle w:val="FirstParagraph"/>
      </w:pPr>
      <w:r>
        <w:rPr>
          <w:bCs/>
          <w:b/>
        </w:rPr>
        <w:t xml:space="preserve">Ethics approval.</w:t>
      </w:r>
      <w:r>
        <w:t xml:space="preserve"> </w:t>
      </w:r>
      <w:r>
        <w:t xml:space="preserve">The study was approved by the Institutional Review Board of King Abdulaziz Specialist Hospital, Al-Jouf Health Cluster (committee registration H-13-S-161; approval No. 9804; 15 February 2026). </w:t>
      </w:r>
      <w:r>
        <w:rPr>
          <w:highlight w:val="yellow"/>
        </w:rPr>
        <w:t>[Verify the study title, approval number and date against the approval letter.]</w:t>
      </w:r>
    </w:p>
    <w:p>
      <w:pPr>
        <w:pStyle w:val="BodyText"/>
      </w:pPr>
      <w:r>
        <w:rPr>
          <w:bCs/>
          <w:b/>
        </w:rPr>
        <w:t xml:space="preserve">Coverage of Hospital C.</w:t>
      </w:r>
      <w:r>
        <w:t xml:space="preserve"> </w:t>
      </w:r>
      <w:r>
        <w:rPr>
          <w:highlight w:val="yellow"/>
        </w:rPr>
        <w:t>[State how research at Hospital C received ethical review. Use the wording that is true:]</w:t>
      </w:r>
    </w:p>
    <w:p>
      <w:pPr>
        <w:numPr>
          <w:ilvl w:val="0"/>
          <w:numId w:val="1015"/>
        </w:numPr>
        <w:pStyle w:val="Compact"/>
      </w:pPr>
      <w:r>
        <w:rPr>
          <w:highlight w:val="yellow"/>
        </w:rPr>
        <w:t>[This approval was extended to Hospital C through [an approved amendment or reliance arrangement, reference and date]</w:t>
      </w:r>
      <w:r>
        <w:rPr/>
        <w:t>.] or</w:t>
      </w:r>
    </w:p>
    <w:p>
      <w:pPr>
        <w:numPr>
          <w:ilvl w:val="0"/>
          <w:numId w:val="1015"/>
        </w:numPr>
        <w:pStyle w:val="Compact"/>
      </w:pPr>
      <w:r>
        <w:rPr>
          <w:highlight w:val="yellow"/>
        </w:rPr>
        <w:t>[Separate ethics approval was obtained from [committee, reference, date]</w:t>
      </w:r>
      <w:r>
        <w:rPr/>
        <w:t>.]</w:t>
      </w:r>
    </w:p>
    <w:p>
      <w:pPr>
        <w:pStyle w:val="FirstParagraph"/>
      </w:pPr>
      <w:r>
        <w:t xml:space="preserve">Hospital C's administrative permission </w:t>
      </w:r>
      <w:r>
        <w:rPr>
          <w:highlight w:val="yellow"/>
        </w:rPr>
        <w:t>[reference]</w:t>
      </w:r>
      <w:r>
        <w:rPr/>
        <w:t xml:space="preserve"> was additional to this ethical review, not a substitute for it.</w:t>
      </w:r>
    </w:p>
    <w:p>
      <w:pPr>
        <w:pStyle w:val="BodyText"/>
      </w:pPr>
      <w:r>
        <w:rPr>
          <w:bCs/>
          <w:b/>
        </w:rPr>
        <w:t xml:space="preserve">Consent.</w:t>
      </w:r>
      <w:r>
        <w:t xml:space="preserve"> </w:t>
      </w:r>
      <w:r>
        <w:t xml:space="preserve">Written informed consent covered participation, audio recording, the use of de-identified quotations, and, for women, access to specified items in the medical record. For remote interviews, consent was </w:t>
      </w:r>
      <w:r>
        <w:rPr>
          <w:highlight w:val="yellow"/>
        </w:rPr>
        <w:t>[obtained in writing beforehand and confirmed verbally at the start of the recording]</w:t>
      </w:r>
      <w:r>
        <w:rPr/>
        <w:t>.</w:t>
      </w:r>
    </w:p>
    <w:p>
      <w:pPr>
        <w:pStyle w:val="BodyText"/>
      </w:pPr>
      <w:r>
        <w:rPr>
          <w:bCs/>
          <w:b/>
        </w:rPr>
        <w:t xml:space="preserve">Withdrawal.</w:t>
      </w:r>
      <w:r>
        <w:t xml:space="preserve"> </w:t>
      </w:r>
      <w:r>
        <w:t xml:space="preserve">Participants could decline any question, stop at any time, and withdraw their data for up to </w:t>
      </w:r>
      <w:r>
        <w:rPr>
          <w:highlight w:val="yellow"/>
        </w:rPr>
        <w:t>[30]</w:t>
      </w:r>
      <w:r>
        <w:rPr/>
        <w:t xml:space="preserve"> days after interview. After that point, their data had been integrated into the analysis. This limit was explained before consent.</w:t>
      </w:r>
    </w:p>
    <w:p>
      <w:pPr>
        <w:pStyle w:val="BodyText"/>
      </w:pPr>
      <w:r>
        <w:rPr>
          <w:bCs/>
          <w:b/>
        </w:rPr>
        <w:t xml:space="preserve">Care and employment.</w:t>
      </w:r>
      <w:r>
        <w:t xml:space="preserve"> </w:t>
      </w:r>
      <w:r>
        <w:t xml:space="preserve">Declining to take part or withdrawing did not affect care or employment. Participation and individual accounts were not reported to managers or care teams. Interview content was not shared with other participants or with hospital staff.</w:t>
      </w:r>
    </w:p>
    <w:p>
      <w:pPr>
        <w:pStyle w:val="BodyText"/>
      </w:pPr>
      <w:r>
        <w:rPr>
          <w:bCs/>
          <w:b/>
        </w:rPr>
        <w:t xml:space="preserve">Distress.</w:t>
      </w:r>
      <w:r>
        <w:t xml:space="preserve"> </w:t>
      </w:r>
      <w:r>
        <w:t xml:space="preserve">Interviewers watched for pain, fatigue or distress and offered breaks. A distress protocol set out the steps to take:</w:t>
      </w:r>
    </w:p>
    <w:p>
      <w:pPr>
        <w:numPr>
          <w:ilvl w:val="0"/>
          <w:numId w:val="1016"/>
        </w:numPr>
        <w:pStyle w:val="Compact"/>
      </w:pPr>
      <w:r>
        <w:t xml:space="preserve">pause and check on the participant;</w:t>
      </w:r>
    </w:p>
    <w:p>
      <w:pPr>
        <w:numPr>
          <w:ilvl w:val="0"/>
          <w:numId w:val="1016"/>
        </w:numPr>
        <w:pStyle w:val="Compact"/>
      </w:pPr>
      <w:r>
        <w:t xml:space="preserve">offer to stop the interview;</w:t>
      </w:r>
    </w:p>
    <w:p>
      <w:pPr>
        <w:numPr>
          <w:ilvl w:val="0"/>
          <w:numId w:val="1016"/>
        </w:numPr>
        <w:pStyle w:val="Compact"/>
      </w:pPr>
      <w:r>
        <w:t xml:space="preserve">with the woman's agreement, tell her nurse about any clinical concern;</w:t>
      </w:r>
    </w:p>
    <w:p>
      <w:pPr>
        <w:numPr>
          <w:ilvl w:val="0"/>
          <w:numId w:val="1016"/>
        </w:numPr>
        <w:pStyle w:val="Compact"/>
      </w:pPr>
      <w:r>
        <w:t xml:space="preserve">give information about support services.</w:t>
      </w:r>
    </w:p>
    <w:p>
      <w:pPr>
        <w:pStyle w:val="FirstParagraph"/>
      </w:pPr>
      <w:r>
        <w:rPr>
          <w:highlight w:val="yellow"/>
        </w:rPr>
        <w:t>[State whether the protocol was used, without identifying details.]</w:t>
      </w:r>
    </w:p>
    <w:p>
      <w:pPr>
        <w:pStyle w:val="BodyText"/>
      </w:pPr>
      <w:r>
        <w:rPr>
          <w:bCs/>
          <w:b/>
        </w:rPr>
        <w:t xml:space="preserve">Privacy.</w:t>
      </w:r>
      <w:r>
        <w:t xml:space="preserve"> </w:t>
      </w:r>
      <w:r>
        <w:t xml:space="preserve">Privacy measures for bedside interviews, remote interviews and companions are described in Section 2.4. Professionals' accounts were protected by removing identifying details from quotations, not attributing quotations to hospital, and reporting characteristics in aggregate.</w:t>
      </w:r>
    </w:p>
    <w:bookmarkEnd w:id="35"/>
    <w:bookmarkStart w:id="36" w:name="Xdedbbde76da0c89929e7e69020aa16bd4c1f613"/>
    <w:p>
      <w:pPr>
        <w:pStyle w:val="Heading2"/>
      </w:pPr>
      <w:r>
        <w:t xml:space="preserve">2.9 Patient and public involvement</w:t>
      </w:r>
    </w:p>
    <w:p>
      <w:pPr>
        <w:pStyle w:val="BlockText"/>
      </w:pPr>
      <w:r>
        <w:t xml:space="preserve">Use Option A or Option B, whichever is true.</w:t>
      </w:r>
    </w:p>
    <w:p>
      <w:pPr>
        <w:pStyle w:val="FirstParagraph"/>
      </w:pPr>
      <w:r>
        <w:rPr>
          <w:bCs/>
          <w:b/>
        </w:rPr>
        <w:t xml:space="preserve">Option A: involvement took place.</w:t>
      </w:r>
      <w:r>
        <w:t xml:space="preserve"> </w:t>
      </w:r>
      <w:r>
        <w:t xml:space="preserve">Involvement is reported with reference to the GRIPP2 short form (Staniszewska et al., 2017). </w:t>
      </w:r>
      <w:r>
        <w:rPr>
          <w:highlight w:val="yellow"/>
        </w:rPr>
        <w:t>[n]</w:t>
      </w:r>
      <w:r>
        <w:rPr/>
        <w:t xml:space="preserve"> women with previous emergency caesarean birth, who were not study participants, advised on </w:t>
      </w:r>
      <w:r>
        <w:rPr>
          <w:highlight w:val="yellow"/>
        </w:rPr>
        <w:t>[the research question, information materials and the women's interview guide]</w:t>
      </w:r>
      <w:r>
        <w:rPr/>
        <w:t xml:space="preserve">. This led to </w:t>
      </w:r>
      <w:r>
        <w:rPr>
          <w:highlight w:val="yellow"/>
        </w:rPr>
        <w:t>[changes]</w:t>
      </w:r>
      <w:r>
        <w:rPr/>
        <w:t xml:space="preserve">. </w:t>
      </w:r>
      <w:r>
        <w:rPr>
          <w:highlight w:val="yellow"/>
        </w:rPr>
        <w:t>[During analysis they discussed anonymised summaries of preliminary interpretations (not transcripts), which led to [effect]</w:t>
      </w:r>
      <w:r>
        <w:rPr/>
        <w:t xml:space="preserve">.] </w:t>
      </w:r>
      <w:r>
        <w:rPr>
          <w:highlight w:val="yellow"/>
        </w:rPr>
        <w:t>[Recruitment of the advisers and any reimbursement.]</w:t>
      </w:r>
      <w:r>
        <w:rPr/>
        <w:t xml:space="preserve"> Advisers did not conduct interviews or code data.</w:t>
      </w:r>
    </w:p>
    <w:p>
      <w:pPr>
        <w:pStyle w:val="BodyText"/>
      </w:pPr>
      <w:r>
        <w:rPr>
          <w:bCs/>
          <w:b/>
        </w:rPr>
        <w:t xml:space="preserve">Option B: no involvement took place.</w:t>
      </w:r>
      <w:r>
        <w:t xml:space="preserve"> </w:t>
      </w:r>
      <w:r>
        <w:t xml:space="preserve">Women and members of the public were not involved in the design, conduct, interpretation or dissemination of this research.</w:t>
      </w:r>
    </w:p>
    <w:bookmarkEnd w:id="36"/>
    <w:bookmarkStart w:id="37" w:name="supplementary-materials"/>
    <w:p>
      <w:pPr>
        <w:pStyle w:val="Heading2"/>
      </w:pPr>
      <w:r>
        <w:t xml:space="preserve">Supplementary materials</w:t>
      </w:r>
    </w:p>
    <w:p>
      <w:pPr>
        <w:numPr>
          <w:ilvl w:val="0"/>
          <w:numId w:val="1017"/>
        </w:numPr>
        <w:pStyle w:val="Compact"/>
      </w:pPr>
      <w:r>
        <w:rPr>
          <w:bCs/>
          <w:b/>
        </w:rPr>
        <w:t xml:space="preserve">S1.</w:t>
      </w:r>
      <w:r>
        <w:t xml:space="preserve"> </w:t>
      </w:r>
      <w:r>
        <w:t xml:space="preserve">Group-specific interview guides, with changes made during data collection, and the contextual information form.</w:t>
      </w:r>
    </w:p>
    <w:p>
      <w:pPr>
        <w:numPr>
          <w:ilvl w:val="0"/>
          <w:numId w:val="1017"/>
        </w:numPr>
        <w:pStyle w:val="Compact"/>
      </w:pPr>
      <w:r>
        <w:rPr>
          <w:bCs/>
          <w:b/>
        </w:rPr>
        <w:t xml:space="preserve">S2.</w:t>
      </w:r>
      <w:r>
        <w:t xml:space="preserve"> </w:t>
      </w:r>
      <w:r>
        <w:t xml:space="preserve">Completed COREQ checklist, with the manuscript location of each item.</w:t>
      </w:r>
    </w:p>
    <w:p>
      <w:pPr>
        <w:numPr>
          <w:ilvl w:val="0"/>
          <w:numId w:val="1017"/>
        </w:numPr>
        <w:pStyle w:val="Compact"/>
      </w:pPr>
      <w:r>
        <w:rPr>
          <w:bCs/>
          <w:b/>
        </w:rPr>
        <w:t xml:space="preserve">S3.</w:t>
      </w:r>
      <w:r>
        <w:t xml:space="preserve"> </w:t>
      </w:r>
      <w:r>
        <w:t xml:space="preserve">Comparison of mobilisation and physiotherapy arrangements across Hospitals A, B and C.</w:t>
      </w:r>
    </w:p>
    <w:p>
      <w:pPr>
        <w:numPr>
          <w:ilvl w:val="0"/>
          <w:numId w:val="1017"/>
        </w:numPr>
        <w:pStyle w:val="Compact"/>
      </w:pPr>
      <w:r>
        <w:rPr>
          <w:bCs/>
          <w:b/>
        </w:rPr>
        <w:t xml:space="preserve">S4.</w:t>
      </w:r>
      <w:r>
        <w:t xml:space="preserve"> </w:t>
      </w:r>
      <w:r>
        <w:t xml:space="preserve">Anonymised analytic trace: from an account extract, to an episode summary, to an interpretation.</w:t>
      </w:r>
    </w:p>
    <w:bookmarkEnd w:id="37"/>
    <w:bookmarkStart w:id="39" w:name="references-cited-in-the-methods"/>
    <w:p>
      <w:pPr>
        <w:pStyle w:val="Heading2"/>
      </w:pPr>
      <w:r>
        <w:t xml:space="preserve">References cited in the Methods</w:t>
      </w:r>
    </w:p>
    <w:p>
      <w:pPr>
        <w:pStyle w:val="FirstParagraph"/>
      </w:pPr>
      <w:r>
        <w:t xml:space="preserve">Entwistle, V.A., Carter, S.M., Cribb, A., McCaffery, K., 2010. Supporting patient autonomy: the importance of clinician–patient relationships. J. Gen. Intern. Med. 25 (7), 741–745.</w:t>
      </w:r>
    </w:p>
    <w:p>
      <w:pPr>
        <w:pStyle w:val="BodyText"/>
      </w:pPr>
      <w:r>
        <w:t xml:space="preserve">Hennink, M., Kaiser, B.N., 2022. Sample sizes for saturation in qualitative research: a systematic review of empirical tests. Soc. Sci. Med. 292, 114523.</w:t>
      </w:r>
    </w:p>
    <w:p>
      <w:pPr>
        <w:pStyle w:val="BodyText"/>
      </w:pPr>
      <w:r>
        <w:t xml:space="preserve">Lucas, D.N., Yentis, S.M., Kinsella, S.M., Holdcroft, A., May, A.E., Wee, M., Robinson, P.N., 2000. Urgency of caesarean section: a new classification. J. R. Soc. Med. 93 (7), 346–350.</w:t>
      </w:r>
      <w:r>
        <w:t xml:space="preserve"> </w:t>
      </w:r>
      <w:hyperlink r:id="rId38">
        <w:r>
          <w:rPr>
            <w:rStyle w:val="Hyperlink"/>
          </w:rPr>
          <w:t xml:space="preserve">https://doi.org/10.1177/014107680009300703</w:t>
        </w:r>
      </w:hyperlink>
    </w:p>
    <w:p>
      <w:pPr>
        <w:pStyle w:val="BodyText"/>
      </w:pPr>
      <w:r>
        <w:t xml:space="preserve">Malterud, K., Siersma, V.D., Guassora, A.D., 2016. Sample size in qualitative interview studies: guided by information power. Qual. Health Res. 26 (13), 1753–1760.</w:t>
      </w:r>
    </w:p>
    <w:p>
      <w:pPr>
        <w:pStyle w:val="BodyText"/>
      </w:pPr>
      <w:r>
        <w:t xml:space="preserve">Olmos-Vega, F.M., Stalmeijer, R.E., Varpio, L., Kahlke, R., 2023. A practical guide to reflexivity in qualitative research: AMEE Guide No. 149. Med. Teach. 45 (3), 241–251.</w:t>
      </w:r>
    </w:p>
    <w:p>
      <w:pPr>
        <w:pStyle w:val="BodyText"/>
      </w:pPr>
      <w:r>
        <w:t xml:space="preserve">Palinkas, L.A., Horwitz, S.M., Green, C.A., Wisdom, J.P., Duan, N., Hoagwood, K., 2015. Purposeful sampling for qualitative data collection and analysis in mixed method implementation research. Adm. Policy Ment. Health 42 (5), 533–544.</w:t>
      </w:r>
    </w:p>
    <w:p>
      <w:pPr>
        <w:pStyle w:val="BodyText"/>
      </w:pPr>
      <w:r>
        <w:t xml:space="preserve">Squires, A., 2009. Methodological challenges in cross-language qualitative research: a research review. Int. J. Nurs. Stud. 46 (2), 277–287.</w:t>
      </w:r>
    </w:p>
    <w:p>
      <w:pPr>
        <w:pStyle w:val="BodyText"/>
      </w:pPr>
      <w:r>
        <w:t xml:space="preserve">Staniszewska, S., Brett, J., Simera, I., Seers, K., Mockford, C., Goodlad, S., et al., 2017. GRIPP2 reporting checklists: tools to improve reporting of patient and public involvement in research. BMJ 358, j3453.</w:t>
      </w:r>
    </w:p>
    <w:p>
      <w:pPr>
        <w:pStyle w:val="BodyText"/>
      </w:pPr>
      <w:r>
        <w:t xml:space="preserve">Tong, A., Sainsbury, P., Craig, J., 2007. Consolidated criteria for reporting qualitative research (COREQ): a 32-item checklist for interviews and focus groups. Int. J. Qual. Health Care 19 (6), 349–357.</w:t>
      </w:r>
    </w:p>
    <w:p>
      <w:pPr>
        <w:pStyle w:val="BodyText"/>
      </w:pPr>
      <w:r>
        <w:t xml:space="preserve">van Nes, F., Abma, T., Jonsson, H., Deeg, D., 2010. Language differences in qualitative research: is meaning lost in translation? Eur. J. Ageing 7 (4), 313–316.</w:t>
      </w:r>
    </w:p>
    <w:p>
      <w:pPr>
        <w:pStyle w:val="BodyText"/>
      </w:pPr>
      <w:r>
        <w:t xml:space="preserve">Health Holding Company (n.d.), Lehmkuhl et al. (2024), Mørch et al. (2019), Stoljar and Mackenzie (2023), Thörn et al. (2025) and Thorne (2025) are cited as in the Introduction.</w:t>
      </w:r>
    </w:p>
    <w:p>
      <w:r>
        <w:pict>
          <v:rect style="width:0;height:1.5pt" o:hralign="center" o:hrstd="t" o:hr="t"/>
        </w:pict>
      </w:r>
    </w:p>
    <w:bookmarkEnd w:id="39"/>
    <w:bookmarkStart w:id="40" w:name="X3ee2c26dd94e1ada91f410ae3b84b31f415d2cc"/>
    <w:p>
      <w:pPr>
        <w:pStyle w:val="Heading2"/>
      </w:pPr>
      <w:r>
        <w:t xml:space="preserve">Completion checklist (delete before submission)</w:t>
      </w:r>
    </w:p>
    <w:tbl>
      <w:tblPr>
        <w:tblStyle w:val="Table"/>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W w:w="9072" w:type="dxa"/>
        <w:tblLayout w:type="fixed"/>
      </w:tblPr>
      <w:tblGrid>
        <w:gridCol w:w="453"/>
        <w:gridCol w:w="1360"/>
        <w:gridCol w:w="7257"/>
      </w:tblGrid>
      <w:tr>
        <w:trPr>
          <w:tblHeader w:val="true"/>
        </w:trPr>
        <w:tc>
          <w:tcPr>
            <w:tcW w:type="dxa" w:w="454"/>
          </w:tcPr>
          <w:p>
            <w:pPr>
              <w:pStyle w:val="Compact"/>
              <w:spacing w:line="240" w:lineRule="auto" w:after="40"/>
              <w:jc w:val="left"/>
            </w:pPr>
            <w:r>
              <w:rPr>
                <w:b/>
                <w:sz w:val="20"/>
              </w:rPr>
              <w:t xml:space="preserve">#</w:t>
            </w:r>
          </w:p>
        </w:tc>
        <w:tc>
          <w:tcPr>
            <w:tcW w:type="dxa" w:w="1361"/>
          </w:tcPr>
          <w:p>
            <w:pPr>
              <w:pStyle w:val="Compact"/>
              <w:spacing w:line="240" w:lineRule="auto" w:after="40"/>
              <w:jc w:val="left"/>
            </w:pPr>
            <w:r>
              <w:rPr>
                <w:b/>
                <w:sz w:val="20"/>
              </w:rPr>
              <w:t xml:space="preserve">Section</w:t>
            </w:r>
          </w:p>
        </w:tc>
        <w:tc>
          <w:tcPr>
            <w:tcW w:type="dxa" w:w="7257"/>
          </w:tcPr>
          <w:p>
            <w:pPr>
              <w:pStyle w:val="Compact"/>
              <w:spacing w:line="240" w:lineRule="auto" w:after="40"/>
              <w:jc w:val="left"/>
            </w:pPr>
            <w:r>
              <w:rPr>
                <w:b/>
                <w:sz w:val="20"/>
              </w:rPr>
              <w:t xml:space="preserve">Verify or insert from study records</w:t>
            </w:r>
          </w:p>
        </w:tc>
      </w:tr>
      <w:tr>
        <w:tc>
          <w:tcPr>
            <w:tcW w:type="dxa" w:w="454"/>
          </w:tcPr>
          <w:p>
            <w:pPr>
              <w:pStyle w:val="Compact"/>
              <w:spacing w:line="240" w:lineRule="auto" w:after="40"/>
              <w:jc w:val="left"/>
            </w:pPr>
            <w:r>
              <w:rPr>
                <w:sz w:val="20"/>
              </w:rPr>
              <w:t xml:space="preserve">1</w:t>
            </w:r>
          </w:p>
        </w:tc>
        <w:tc>
          <w:tcPr>
            <w:tcW w:type="dxa" w:w="1361"/>
          </w:tcPr>
          <w:p>
            <w:pPr>
              <w:pStyle w:val="Compact"/>
              <w:spacing w:line="240" w:lineRule="auto" w:after="40"/>
              <w:jc w:val="left"/>
            </w:pPr>
            <w:r>
              <w:rPr>
                <w:sz w:val="20"/>
              </w:rPr>
              <w:t xml:space="preserve">2.2, S3</w:t>
            </w:r>
          </w:p>
        </w:tc>
        <w:tc>
          <w:tcPr>
            <w:tcW w:type="dxa" w:w="7257"/>
          </w:tcPr>
          <w:p>
            <w:pPr>
              <w:pStyle w:val="Compact"/>
              <w:spacing w:line="240" w:lineRule="auto" w:after="40"/>
              <w:jc w:val="left"/>
            </w:pPr>
            <w:r>
              <w:rPr>
                <w:sz w:val="20"/>
              </w:rPr>
              <w:t xml:space="preserve">Recovery area; whether midwives provide postnatal care; assessment items; reassessment frequency; how recommendations return; site differences; source documents</w:t>
            </w:r>
          </w:p>
        </w:tc>
      </w:tr>
      <w:tr>
        <w:tc>
          <w:tcPr>
            <w:tcW w:type="dxa" w:w="454"/>
          </w:tcPr>
          <w:p>
            <w:pPr>
              <w:pStyle w:val="Compact"/>
              <w:spacing w:line="240" w:lineRule="auto" w:after="40"/>
              <w:jc w:val="left"/>
            </w:pPr>
            <w:r>
              <w:rPr>
                <w:sz w:val="20"/>
              </w:rPr>
              <w:t xml:space="preserve">2</w:t>
            </w:r>
          </w:p>
        </w:tc>
        <w:tc>
          <w:tcPr>
            <w:tcW w:type="dxa" w:w="1361"/>
          </w:tcPr>
          <w:p>
            <w:pPr>
              <w:pStyle w:val="Compact"/>
              <w:spacing w:line="240" w:lineRule="auto" w:after="40"/>
              <w:jc w:val="left"/>
            </w:pPr>
            <w:r>
              <w:rPr>
                <w:sz w:val="20"/>
              </w:rPr>
              <w:t xml:space="preserve">2.3.1</w:t>
            </w:r>
          </w:p>
        </w:tc>
        <w:tc>
          <w:tcPr>
            <w:tcW w:type="dxa" w:w="7257"/>
          </w:tcPr>
          <w:p>
            <w:pPr>
              <w:pStyle w:val="Compact"/>
              <w:spacing w:line="240" w:lineRule="auto" w:after="40"/>
              <w:jc w:val="left"/>
            </w:pPr>
            <w:r>
              <w:rPr>
                <w:sz w:val="20"/>
              </w:rPr>
              <w:t xml:space="preserve">Whether planned-but-brought-forward caesareans were excluded in the approved protocol</w:t>
            </w:r>
          </w:p>
        </w:tc>
      </w:tr>
      <w:tr>
        <w:tc>
          <w:tcPr>
            <w:tcW w:type="dxa" w:w="454"/>
          </w:tcPr>
          <w:p>
            <w:pPr>
              <w:pStyle w:val="Compact"/>
              <w:spacing w:line="240" w:lineRule="auto" w:after="40"/>
              <w:jc w:val="left"/>
            </w:pPr>
            <w:r>
              <w:rPr>
                <w:sz w:val="20"/>
              </w:rPr>
              <w:t xml:space="preserve">3</w:t>
            </w:r>
          </w:p>
        </w:tc>
        <w:tc>
          <w:tcPr>
            <w:tcW w:type="dxa" w:w="1361"/>
          </w:tcPr>
          <w:p>
            <w:pPr>
              <w:pStyle w:val="Compact"/>
              <w:spacing w:line="240" w:lineRule="auto" w:after="40"/>
              <w:jc w:val="left"/>
            </w:pPr>
            <w:r>
              <w:rPr>
                <w:sz w:val="20"/>
              </w:rPr>
              <w:t xml:space="preserve">2.3.2</w:t>
            </w:r>
          </w:p>
        </w:tc>
        <w:tc>
          <w:tcPr>
            <w:tcW w:type="dxa" w:w="7257"/>
          </w:tcPr>
          <w:p>
            <w:pPr>
              <w:pStyle w:val="Compact"/>
              <w:spacing w:line="240" w:lineRule="auto" w:after="40"/>
              <w:jc w:val="left"/>
            </w:pPr>
            <w:r>
              <w:rPr>
                <w:sz w:val="20"/>
              </w:rPr>
              <w:t xml:space="preserve">Exact approved eligibility wording for each group; whether any woman had no assisted mobilisation; physiotherapists' emergency-caesarean experience</w:t>
            </w:r>
          </w:p>
        </w:tc>
      </w:tr>
      <w:tr>
        <w:tc>
          <w:tcPr>
            <w:tcW w:type="dxa" w:w="454"/>
          </w:tcPr>
          <w:p>
            <w:pPr>
              <w:pStyle w:val="Compact"/>
              <w:spacing w:line="240" w:lineRule="auto" w:after="40"/>
              <w:jc w:val="left"/>
            </w:pPr>
            <w:r>
              <w:rPr>
                <w:sz w:val="20"/>
              </w:rPr>
              <w:t xml:space="preserve">4</w:t>
            </w:r>
          </w:p>
        </w:tc>
        <w:tc>
          <w:tcPr>
            <w:tcW w:type="dxa" w:w="1361"/>
          </w:tcPr>
          <w:p>
            <w:pPr>
              <w:pStyle w:val="Compact"/>
              <w:spacing w:line="240" w:lineRule="auto" w:after="40"/>
              <w:jc w:val="left"/>
            </w:pPr>
            <w:r>
              <w:rPr>
                <w:sz w:val="20"/>
              </w:rPr>
              <w:t xml:space="preserve">2.3.3</w:t>
            </w:r>
          </w:p>
        </w:tc>
        <w:tc>
          <w:tcPr>
            <w:tcW w:type="dxa" w:w="7257"/>
          </w:tcPr>
          <w:p>
            <w:pPr>
              <w:pStyle w:val="Compact"/>
              <w:spacing w:line="240" w:lineRule="auto" w:after="40"/>
              <w:jc w:val="left"/>
            </w:pPr>
            <w:r>
              <w:rPr>
                <w:sz w:val="20"/>
              </w:rPr>
              <w:t xml:space="preserve">Who approached women; minimum interval before consent</w:t>
            </w:r>
          </w:p>
        </w:tc>
      </w:tr>
      <w:tr>
        <w:tc>
          <w:tcPr>
            <w:tcW w:type="dxa" w:w="454"/>
          </w:tcPr>
          <w:p>
            <w:pPr>
              <w:pStyle w:val="Compact"/>
              <w:spacing w:line="240" w:lineRule="auto" w:after="40"/>
              <w:jc w:val="left"/>
            </w:pPr>
            <w:r>
              <w:rPr>
                <w:sz w:val="20"/>
              </w:rPr>
              <w:t xml:space="preserve">5</w:t>
            </w:r>
          </w:p>
        </w:tc>
        <w:tc>
          <w:tcPr>
            <w:tcW w:type="dxa" w:w="1361"/>
          </w:tcPr>
          <w:p>
            <w:pPr>
              <w:pStyle w:val="Compact"/>
              <w:spacing w:line="240" w:lineRule="auto" w:after="40"/>
              <w:jc w:val="left"/>
            </w:pPr>
            <w:r>
              <w:rPr>
                <w:sz w:val="20"/>
              </w:rPr>
              <w:t xml:space="preserve">2.3.6, Table 2</w:t>
            </w:r>
          </w:p>
        </w:tc>
        <w:tc>
          <w:tcPr>
            <w:tcW w:type="dxa" w:w="7257"/>
          </w:tcPr>
          <w:p>
            <w:pPr>
              <w:pStyle w:val="Compact"/>
              <w:spacing w:line="240" w:lineRule="auto" w:after="40"/>
              <w:jc w:val="left"/>
            </w:pPr>
            <w:r>
              <w:rPr>
                <w:sz w:val="20"/>
              </w:rPr>
              <w:t xml:space="preserve">Denominators and counts per group and hospital; pilot participants included or not; reasons for non-participation; withdrawals before and after interview</w:t>
            </w:r>
          </w:p>
        </w:tc>
      </w:tr>
      <w:tr>
        <w:tc>
          <w:tcPr>
            <w:tcW w:type="dxa" w:w="454"/>
          </w:tcPr>
          <w:p>
            <w:pPr>
              <w:pStyle w:val="Compact"/>
              <w:spacing w:line="240" w:lineRule="auto" w:after="40"/>
              <w:jc w:val="left"/>
            </w:pPr>
            <w:r>
              <w:rPr>
                <w:sz w:val="20"/>
              </w:rPr>
              <w:t xml:space="preserve">6</w:t>
            </w:r>
          </w:p>
        </w:tc>
        <w:tc>
          <w:tcPr>
            <w:tcW w:type="dxa" w:w="1361"/>
          </w:tcPr>
          <w:p>
            <w:pPr>
              <w:pStyle w:val="Compact"/>
              <w:spacing w:line="240" w:lineRule="auto" w:after="40"/>
              <w:jc w:val="left"/>
            </w:pPr>
            <w:r>
              <w:rPr>
                <w:sz w:val="20"/>
              </w:rPr>
              <w:t xml:space="preserve">2.4</w:t>
            </w:r>
          </w:p>
        </w:tc>
        <w:tc>
          <w:tcPr>
            <w:tcW w:type="dxa" w:w="7257"/>
          </w:tcPr>
          <w:p>
            <w:pPr>
              <w:pStyle w:val="Compact"/>
              <w:spacing w:line="240" w:lineRule="auto" w:after="40"/>
              <w:jc w:val="left"/>
            </w:pPr>
            <w:r>
              <w:rPr>
                <w:sz w:val="20"/>
              </w:rPr>
              <w:t xml:space="preserve">Inpatient room versus bedside counts; remote counts; professional face-to-face versus video counts; durations; interviewer allocation; piloting; prompts added; repeat interviews; companions and how they consented</w:t>
            </w:r>
          </w:p>
        </w:tc>
      </w:tr>
      <w:tr>
        <w:tc>
          <w:tcPr>
            <w:tcW w:type="dxa" w:w="454"/>
          </w:tcPr>
          <w:p>
            <w:pPr>
              <w:pStyle w:val="Compact"/>
              <w:spacing w:line="240" w:lineRule="auto" w:after="40"/>
              <w:jc w:val="left"/>
            </w:pPr>
            <w:r>
              <w:rPr>
                <w:sz w:val="20"/>
              </w:rPr>
              <w:t xml:space="preserve">7</w:t>
            </w:r>
          </w:p>
        </w:tc>
        <w:tc>
          <w:tcPr>
            <w:tcW w:type="dxa" w:w="1361"/>
          </w:tcPr>
          <w:p>
            <w:pPr>
              <w:pStyle w:val="Compact"/>
              <w:spacing w:line="240" w:lineRule="auto" w:after="40"/>
              <w:jc w:val="left"/>
            </w:pPr>
            <w:r>
              <w:rPr>
                <w:sz w:val="20"/>
              </w:rPr>
              <w:t xml:space="preserve">2.5</w:t>
            </w:r>
          </w:p>
        </w:tc>
        <w:tc>
          <w:tcPr>
            <w:tcW w:type="dxa" w:w="7257"/>
          </w:tcPr>
          <w:p>
            <w:pPr>
              <w:pStyle w:val="Compact"/>
              <w:spacing w:line="240" w:lineRule="auto" w:after="40"/>
              <w:jc w:val="left"/>
            </w:pPr>
            <w:r>
              <w:rPr>
                <w:sz w:val="20"/>
              </w:rPr>
              <w:t xml:space="preserve">Who transcribed; assistant's access and transfer method; language counts; storage; retention</w:t>
            </w:r>
          </w:p>
        </w:tc>
      </w:tr>
      <w:tr>
        <w:tc>
          <w:tcPr>
            <w:tcW w:type="dxa" w:w="454"/>
          </w:tcPr>
          <w:p>
            <w:pPr>
              <w:pStyle w:val="Compact"/>
              <w:spacing w:line="240" w:lineRule="auto" w:after="40"/>
              <w:jc w:val="left"/>
            </w:pPr>
            <w:r>
              <w:rPr>
                <w:sz w:val="20"/>
              </w:rPr>
              <w:t xml:space="preserve">8</w:t>
            </w:r>
          </w:p>
        </w:tc>
        <w:tc>
          <w:tcPr>
            <w:tcW w:type="dxa" w:w="1361"/>
          </w:tcPr>
          <w:p>
            <w:pPr>
              <w:pStyle w:val="Compact"/>
              <w:spacing w:line="240" w:lineRule="auto" w:after="40"/>
              <w:jc w:val="left"/>
            </w:pPr>
            <w:r>
              <w:rPr>
                <w:sz w:val="20"/>
              </w:rPr>
              <w:t xml:space="preserve">2.6</w:t>
            </w:r>
          </w:p>
        </w:tc>
        <w:tc>
          <w:tcPr>
            <w:tcW w:type="dxa" w:w="7257"/>
          </w:tcPr>
          <w:p>
            <w:pPr>
              <w:pStyle w:val="Compact"/>
              <w:spacing w:line="240" w:lineRule="auto" w:after="40"/>
              <w:jc w:val="left"/>
            </w:pPr>
            <w:r>
              <w:rPr>
                <w:sz w:val="20"/>
              </w:rPr>
              <w:t xml:space="preserve">Who coded; software; S4 trace prepared from real, de-identified data</w:t>
            </w:r>
          </w:p>
        </w:tc>
      </w:tr>
      <w:tr>
        <w:tc>
          <w:tcPr>
            <w:tcW w:type="dxa" w:w="454"/>
          </w:tcPr>
          <w:p>
            <w:pPr>
              <w:pStyle w:val="Compact"/>
              <w:spacing w:line="240" w:lineRule="auto" w:after="40"/>
              <w:jc w:val="left"/>
            </w:pPr>
            <w:r>
              <w:rPr>
                <w:sz w:val="20"/>
              </w:rPr>
              <w:t xml:space="preserve">9</w:t>
            </w:r>
          </w:p>
        </w:tc>
        <w:tc>
          <w:tcPr>
            <w:tcW w:type="dxa" w:w="1361"/>
          </w:tcPr>
          <w:p>
            <w:pPr>
              <w:pStyle w:val="Compact"/>
              <w:spacing w:line="240" w:lineRule="auto" w:after="40"/>
              <w:jc w:val="left"/>
            </w:pPr>
            <w:r>
              <w:rPr>
                <w:sz w:val="20"/>
              </w:rPr>
              <w:t xml:space="preserve">2.7</w:t>
            </w:r>
          </w:p>
        </w:tc>
        <w:tc>
          <w:tcPr>
            <w:tcW w:type="dxa" w:w="7257"/>
          </w:tcPr>
          <w:p>
            <w:pPr>
              <w:pStyle w:val="Compact"/>
              <w:spacing w:line="240" w:lineRule="auto" w:after="40"/>
              <w:jc w:val="left"/>
            </w:pPr>
            <w:r>
              <w:rPr>
                <w:sz w:val="20"/>
              </w:rPr>
              <w:t xml:space="preserve">Author qualifications and experience; concrete reflexive examples; whether external review occurred</w:t>
            </w:r>
          </w:p>
        </w:tc>
      </w:tr>
      <w:tr>
        <w:tc>
          <w:tcPr>
            <w:tcW w:type="dxa" w:w="454"/>
          </w:tcPr>
          <w:p>
            <w:pPr>
              <w:pStyle w:val="Compact"/>
              <w:spacing w:line="240" w:lineRule="auto" w:after="40"/>
              <w:jc w:val="left"/>
            </w:pPr>
            <w:r>
              <w:rPr>
                <w:sz w:val="20"/>
              </w:rPr>
              <w:t xml:space="preserve">10</w:t>
            </w:r>
          </w:p>
        </w:tc>
        <w:tc>
          <w:tcPr>
            <w:tcW w:type="dxa" w:w="1361"/>
          </w:tcPr>
          <w:p>
            <w:pPr>
              <w:pStyle w:val="Compact"/>
              <w:spacing w:line="240" w:lineRule="auto" w:after="40"/>
              <w:jc w:val="left"/>
            </w:pPr>
            <w:r>
              <w:rPr>
                <w:sz w:val="20"/>
              </w:rPr>
              <w:t xml:space="preserve">2.8</w:t>
            </w:r>
          </w:p>
        </w:tc>
        <w:tc>
          <w:tcPr>
            <w:tcW w:type="dxa" w:w="7257"/>
          </w:tcPr>
          <w:p>
            <w:pPr>
              <w:pStyle w:val="Compact"/>
              <w:spacing w:line="240" w:lineRule="auto" w:after="40"/>
              <w:jc w:val="left"/>
            </w:pPr>
            <w:r>
              <w:rPr>
                <w:sz w:val="20"/>
              </w:rPr>
              <w:t xml:space="preserve">Approval letter details; ethical coverage of Hospital C; remote consent; withdrawal window; distress protocol use</w:t>
            </w:r>
          </w:p>
        </w:tc>
      </w:tr>
      <w:tr>
        <w:tc>
          <w:tcPr>
            <w:tcW w:type="dxa" w:w="454"/>
          </w:tcPr>
          <w:p>
            <w:pPr>
              <w:pStyle w:val="Compact"/>
              <w:spacing w:line="240" w:lineRule="auto" w:after="40"/>
              <w:jc w:val="left"/>
            </w:pPr>
            <w:r>
              <w:rPr>
                <w:sz w:val="20"/>
              </w:rPr>
              <w:t xml:space="preserve">11</w:t>
            </w:r>
          </w:p>
        </w:tc>
        <w:tc>
          <w:tcPr>
            <w:tcW w:type="dxa" w:w="1361"/>
          </w:tcPr>
          <w:p>
            <w:pPr>
              <w:pStyle w:val="Compact"/>
              <w:spacing w:line="240" w:lineRule="auto" w:after="40"/>
              <w:jc w:val="left"/>
            </w:pPr>
            <w:r>
              <w:rPr>
                <w:sz w:val="20"/>
              </w:rPr>
              <w:t xml:space="preserve">2.9</w:t>
            </w:r>
          </w:p>
        </w:tc>
        <w:tc>
          <w:tcPr>
            <w:tcW w:type="dxa" w:w="7257"/>
          </w:tcPr>
          <w:p>
            <w:pPr>
              <w:pStyle w:val="Compact"/>
              <w:spacing w:line="240" w:lineRule="auto" w:after="40"/>
              <w:jc w:val="left"/>
            </w:pPr>
            <w:r>
              <w:rPr>
                <w:sz w:val="20"/>
              </w:rPr>
              <w:t xml:space="preserve">Option A with real details, or Option B</w:t>
            </w:r>
          </w:p>
        </w:tc>
      </w:tr>
      <w:tr>
        <w:tc>
          <w:tcPr>
            <w:tcW w:type="dxa" w:w="454"/>
          </w:tcPr>
          <w:p>
            <w:pPr>
              <w:pStyle w:val="Compact"/>
              <w:spacing w:line="240" w:lineRule="auto" w:after="40"/>
              <w:jc w:val="left"/>
            </w:pPr>
            <w:r>
              <w:rPr>
                <w:sz w:val="20"/>
              </w:rPr>
              <w:t xml:space="preserve">12</w:t>
            </w:r>
          </w:p>
        </w:tc>
        <w:tc>
          <w:tcPr>
            <w:tcW w:type="dxa" w:w="1361"/>
          </w:tcPr>
          <w:p>
            <w:pPr>
              <w:pStyle w:val="Compact"/>
              <w:spacing w:line="240" w:lineRule="auto" w:after="40"/>
              <w:jc w:val="left"/>
            </w:pPr>
            <w:r>
              <w:rPr>
                <w:sz w:val="20"/>
              </w:rPr>
              <w:t xml:space="preserve">Introduction</w:t>
            </w:r>
          </w:p>
        </w:tc>
        <w:tc>
          <w:tcPr>
            <w:tcW w:type="dxa" w:w="7257"/>
          </w:tcPr>
          <w:p>
            <w:pPr>
              <w:pStyle w:val="Compact"/>
              <w:spacing w:line="240" w:lineRule="auto" w:after="40"/>
              <w:jc w:val="left"/>
            </w:pPr>
            <w:r>
              <w:rPr>
                <w:sz w:val="20"/>
              </w:rPr>
              <w:t xml:space="preserve">Remove "hypothetical", "assumed" and "proposed" so it matches a completed study</w:t>
            </w:r>
          </w:p>
        </w:tc>
      </w:tr>
    </w:tbl>
    <w:bookmarkEnd w:id="40"/>
    <w:bookmarkEnd w:id="41"/>
    <w:sectPr>
      <w:pgSz w:h="16838" w:w="11906"/>
      <w:pgMar w:bottom="1440" w:left="1440" w:right="1440" w:top="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eastAsia="Times New Roman" w:hAnsi="Times New Roman"/>
      <w:sz w:val="24"/>
    </w:rPr>
  </w:style>
  <w:style w:customStyle="1" w:styleId="Compact" w:type="paragraph">
    <w:name w:val="Compact"/>
    <w:basedOn w:val="BodyText"/>
    <w:qFormat/>
    <w:pPr>
      <w:spacing w:after="120" w:before="36" w:line="360" w:lineRule="auto"/>
    </w:pPr>
    <w:rPr>
      <w:rFonts w:ascii="Times New Roman" w:eastAsia="Times New Roman" w:hAnsi="Times New Roman"/>
      <w:sz w:val="24"/>
    </w:rPr>
  </w:style>
  <w:style w:styleId="Title" w:type="paragraph">
    <w:name w:val="Title"/>
    <w:basedOn w:val="Normal"/>
    <w:next w:val="BodyText"/>
    <w:qFormat/>
    <w:pPr>
      <w:keepNext/>
      <w:keepLines/>
      <w:spacing w:after="120" w:before="240"/>
      <w:jc w:val="center"/>
    </w:pPr>
    <w:rPr>
      <w:rFonts w:ascii="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360" w:lineRule="auto"/>
      <w:ind w:firstLine="0" w:left="480" w:right="480"/>
    </w:pPr>
    <w:rPr>
      <w:rFonts w:ascii="Times New Roman" w:eastAsia="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hyperlink" Target="https://doi.org/10.1177/014107680009300703"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177/014107680009300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2026-10-07T16:28:08Z</dcterms:created>
  <dcterms:modified xsi:type="dcterms:W3CDTF">2026-10-07T16:28:08Z</dcterms:modified>
</cp:coreProperties>
</file>

<file path=docProps/custom.xml><?xml version="1.0" encoding="utf-8"?>
<Properties xmlns="http://schemas.openxmlformats.org/officeDocument/2006/custom-properties" xmlns:vt="http://schemas.openxmlformats.org/officeDocument/2006/docPropsVTypes"/>
</file>