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7CF78" w14:textId="42761022" w:rsidR="00227043" w:rsidRPr="000D7430" w:rsidRDefault="00000000" w:rsidP="000D7430">
      <w:pPr>
        <w:jc w:val="center"/>
        <w:rPr>
          <w:b/>
          <w:bCs/>
          <w:sz w:val="24"/>
          <w:szCs w:val="24"/>
          <w:u w:val="single"/>
        </w:rPr>
      </w:pPr>
      <w:r w:rsidRPr="000D7430">
        <w:rPr>
          <w:b/>
          <w:bCs/>
          <w:sz w:val="24"/>
          <w:szCs w:val="24"/>
          <w:u w:val="single"/>
        </w:rPr>
        <w:t>Cover Letter</w:t>
      </w:r>
    </w:p>
    <w:p w14:paraId="6E594E24" w14:textId="4655CA82" w:rsidR="000D7430" w:rsidRPr="000D7430" w:rsidRDefault="000D7430" w:rsidP="000D7430">
      <w:pPr>
        <w:jc w:val="both"/>
        <w:rPr>
          <w:sz w:val="24"/>
          <w:szCs w:val="24"/>
        </w:rPr>
      </w:pPr>
      <w:r w:rsidRPr="000D7430">
        <w:rPr>
          <w:sz w:val="24"/>
          <w:szCs w:val="24"/>
        </w:rPr>
        <w:t>22 September 2026</w:t>
      </w:r>
    </w:p>
    <w:p w14:paraId="71222358" w14:textId="6446B51E" w:rsidR="000D7430" w:rsidRPr="000D7430" w:rsidRDefault="000D7430" w:rsidP="000D7430">
      <w:pPr>
        <w:jc w:val="both"/>
        <w:rPr>
          <w:sz w:val="24"/>
          <w:szCs w:val="24"/>
        </w:rPr>
      </w:pPr>
      <w:r w:rsidRPr="000D7430">
        <w:rPr>
          <w:sz w:val="24"/>
          <w:szCs w:val="24"/>
        </w:rPr>
        <w:t>Dear Guest Editors,</w:t>
      </w:r>
    </w:p>
    <w:p w14:paraId="45B2E7C5" w14:textId="77777777" w:rsidR="000D7430" w:rsidRPr="000D7430" w:rsidRDefault="000D7430" w:rsidP="000D7430">
      <w:pPr>
        <w:jc w:val="both"/>
        <w:rPr>
          <w:sz w:val="24"/>
          <w:szCs w:val="24"/>
        </w:rPr>
      </w:pPr>
      <w:r w:rsidRPr="000D7430">
        <w:rPr>
          <w:sz w:val="24"/>
          <w:szCs w:val="24"/>
        </w:rPr>
        <w:t xml:space="preserve">Re: </w:t>
      </w:r>
      <w:r w:rsidRPr="000D7430">
        <w:rPr>
          <w:sz w:val="24"/>
          <w:szCs w:val="24"/>
          <w:u w:val="single"/>
        </w:rPr>
        <w:t>Submission to the Special Issue “Advances in Pediatric Assistive Technologies”</w:t>
      </w:r>
    </w:p>
    <w:p w14:paraId="63D6F1A9" w14:textId="77777777" w:rsidR="000D7430" w:rsidRDefault="000D7430" w:rsidP="000D7430">
      <w:pPr>
        <w:ind w:firstLine="720"/>
        <w:jc w:val="both"/>
        <w:rPr>
          <w:sz w:val="24"/>
          <w:szCs w:val="24"/>
        </w:rPr>
      </w:pPr>
      <w:r w:rsidRPr="000D7430">
        <w:rPr>
          <w:sz w:val="24"/>
          <w:szCs w:val="24"/>
        </w:rPr>
        <w:t>Please consider our systematic review, “</w:t>
      </w:r>
      <w:r w:rsidRPr="000D7430">
        <w:rPr>
          <w:i/>
          <w:iCs/>
          <w:sz w:val="24"/>
          <w:szCs w:val="24"/>
        </w:rPr>
        <w:t>Speech and Braille Technologies for School-Age Children and Adolescents with Disabilities: A Function-Stratified Synthesis and Evidence Map of Learner-Level Outcomes</w:t>
      </w:r>
      <w:r w:rsidRPr="000D7430">
        <w:rPr>
          <w:sz w:val="24"/>
          <w:szCs w:val="24"/>
        </w:rPr>
        <w:t>,” for publication in Children.</w:t>
      </w:r>
    </w:p>
    <w:p w14:paraId="6FBF08AB" w14:textId="77777777" w:rsidR="000D7430" w:rsidRDefault="000D7430" w:rsidP="000D7430">
      <w:pPr>
        <w:ind w:firstLine="720"/>
        <w:jc w:val="both"/>
        <w:rPr>
          <w:sz w:val="24"/>
          <w:szCs w:val="24"/>
        </w:rPr>
      </w:pPr>
      <w:r w:rsidRPr="000D7430">
        <w:rPr>
          <w:sz w:val="24"/>
          <w:szCs w:val="24"/>
        </w:rPr>
        <w:t>The Special Issue includes assistive technologies that support education, language acquisition, and communication. Our review examines these functions among school-age learners with disabilities. It separates speech-to-text, text-to-speech and mixed speech technologies, automatic classroom captioning, adaptive Braille learning, and optical Braille recognition rather than treating them as interchangeable tools. Across 27 reports representing up to 26 study series, we assess learner-level outcomes, methodological limitations, and certainty of evidence.</w:t>
      </w:r>
    </w:p>
    <w:p w14:paraId="014C916F" w14:textId="77777777" w:rsidR="000D7430" w:rsidRDefault="000D7430" w:rsidP="000D7430">
      <w:pPr>
        <w:ind w:firstLine="720"/>
        <w:jc w:val="both"/>
        <w:rPr>
          <w:sz w:val="24"/>
          <w:szCs w:val="24"/>
        </w:rPr>
      </w:pPr>
      <w:r w:rsidRPr="000D7430">
        <w:rPr>
          <w:sz w:val="24"/>
          <w:szCs w:val="24"/>
        </w:rPr>
        <w:t>The review’s contribution is to distinguish evidence of children’s learning and communication access from measures of technical performance. Certainty was very low across all seven populated evidence bodies. Speech-to-text and text-to-speech findings varied by learner, task, and outcome; the largest controlled mixed-technology study found no overall between-group difference. The search located no eligible learner-level evaluation of automatic classroom captioning or optical Braille recognition. We therefore identify specific research priorities without claiming general effectiveness or clinical effects that the included studies did not measure.</w:t>
      </w:r>
    </w:p>
    <w:p w14:paraId="5B7D6268" w14:textId="370D6B59" w:rsidR="00227043" w:rsidRPr="000D7430" w:rsidRDefault="000D7430" w:rsidP="000D7430">
      <w:pPr>
        <w:ind w:firstLine="720"/>
        <w:jc w:val="both"/>
        <w:rPr>
          <w:sz w:val="24"/>
          <w:szCs w:val="24"/>
        </w:rPr>
      </w:pPr>
      <w:r w:rsidRPr="000D7430">
        <w:rPr>
          <w:sz w:val="24"/>
          <w:szCs w:val="24"/>
        </w:rPr>
        <w:t>The manuscript is original, has not been published, and is not under consideration elsewhere. Both authors have approved its submission. Because the review analysed published aggregate data, institutional ethics approval and informed consent were not applicable. Funding, data availability, author contributions, and conflict-of-interest declarations are provided in the manuscript.</w:t>
      </w:r>
    </w:p>
    <w:p w14:paraId="74351EE6" w14:textId="77777777" w:rsidR="00227043" w:rsidRPr="000D7430" w:rsidRDefault="00000000" w:rsidP="000D7430">
      <w:pPr>
        <w:jc w:val="both"/>
        <w:rPr>
          <w:color w:val="000000" w:themeColor="text1"/>
          <w:sz w:val="24"/>
          <w:szCs w:val="24"/>
        </w:rPr>
      </w:pPr>
      <w:r w:rsidRPr="000D7430">
        <w:rPr>
          <w:color w:val="000000" w:themeColor="text1"/>
          <w:sz w:val="24"/>
          <w:szCs w:val="24"/>
        </w:rPr>
        <w:t>Thank you for your consideration.</w:t>
      </w:r>
    </w:p>
    <w:p w14:paraId="34EF45B5" w14:textId="77777777" w:rsidR="00227043" w:rsidRPr="000D7430" w:rsidRDefault="00000000" w:rsidP="000D7430">
      <w:pPr>
        <w:jc w:val="both"/>
        <w:rPr>
          <w:color w:val="000000" w:themeColor="text1"/>
          <w:sz w:val="24"/>
          <w:szCs w:val="24"/>
        </w:rPr>
      </w:pPr>
      <w:r w:rsidRPr="000D7430">
        <w:rPr>
          <w:color w:val="000000" w:themeColor="text1"/>
          <w:sz w:val="24"/>
          <w:szCs w:val="24"/>
        </w:rPr>
        <w:t>Sincerely,</w:t>
      </w:r>
    </w:p>
    <w:p w14:paraId="5A51F6D0" w14:textId="77777777" w:rsidR="00227043" w:rsidRPr="000D7430" w:rsidRDefault="00000000" w:rsidP="000D7430">
      <w:pPr>
        <w:spacing w:after="0"/>
        <w:jc w:val="both"/>
        <w:rPr>
          <w:color w:val="000000" w:themeColor="text1"/>
          <w:sz w:val="24"/>
          <w:szCs w:val="24"/>
        </w:rPr>
      </w:pPr>
      <w:r w:rsidRPr="000D7430">
        <w:rPr>
          <w:b/>
          <w:color w:val="000000" w:themeColor="text1"/>
          <w:sz w:val="24"/>
          <w:szCs w:val="24"/>
        </w:rPr>
        <w:t>Ashit Kumar Dutta</w:t>
      </w:r>
    </w:p>
    <w:p w14:paraId="15765D09" w14:textId="77777777" w:rsidR="00227043" w:rsidRPr="000D7430" w:rsidRDefault="00000000" w:rsidP="000D7430">
      <w:pPr>
        <w:spacing w:after="0"/>
        <w:jc w:val="both"/>
        <w:rPr>
          <w:color w:val="000000" w:themeColor="text1"/>
          <w:sz w:val="24"/>
          <w:szCs w:val="24"/>
        </w:rPr>
      </w:pPr>
      <w:r w:rsidRPr="000D7430">
        <w:rPr>
          <w:color w:val="000000" w:themeColor="text1"/>
          <w:sz w:val="24"/>
          <w:szCs w:val="24"/>
        </w:rPr>
        <w:t>Corresponding Author</w:t>
      </w:r>
    </w:p>
    <w:p w14:paraId="78DBE314" w14:textId="77777777" w:rsidR="00227043" w:rsidRPr="000D7430" w:rsidRDefault="00000000" w:rsidP="000D7430">
      <w:pPr>
        <w:spacing w:after="0"/>
        <w:jc w:val="both"/>
        <w:rPr>
          <w:color w:val="000000" w:themeColor="text1"/>
          <w:sz w:val="24"/>
          <w:szCs w:val="24"/>
        </w:rPr>
      </w:pPr>
      <w:r w:rsidRPr="000D7430">
        <w:rPr>
          <w:color w:val="000000" w:themeColor="text1"/>
          <w:sz w:val="24"/>
          <w:szCs w:val="24"/>
        </w:rPr>
        <w:t>Department of Computer Science and Information Systems, College of Medical Sciences, AlMaarefa University, Riyadh, Saudi Arabia</w:t>
      </w:r>
    </w:p>
    <w:p w14:paraId="26A37B0A" w14:textId="77777777" w:rsidR="00227043" w:rsidRPr="000D7430" w:rsidRDefault="00000000" w:rsidP="000D7430">
      <w:pPr>
        <w:spacing w:after="0"/>
        <w:jc w:val="both"/>
        <w:rPr>
          <w:color w:val="000000" w:themeColor="text1"/>
          <w:sz w:val="24"/>
          <w:szCs w:val="24"/>
        </w:rPr>
      </w:pPr>
      <w:r w:rsidRPr="000D7430">
        <w:rPr>
          <w:color w:val="000000" w:themeColor="text1"/>
          <w:sz w:val="24"/>
          <w:szCs w:val="24"/>
        </w:rPr>
        <w:t>Email: adotta@um.edu.sa</w:t>
      </w:r>
    </w:p>
    <w:p w14:paraId="68B40360" w14:textId="77777777" w:rsidR="00227043" w:rsidRPr="000D7430" w:rsidRDefault="00000000" w:rsidP="000D7430">
      <w:pPr>
        <w:jc w:val="both"/>
        <w:rPr>
          <w:color w:val="000000" w:themeColor="text1"/>
          <w:sz w:val="24"/>
          <w:szCs w:val="24"/>
        </w:rPr>
      </w:pPr>
      <w:r w:rsidRPr="000D7430">
        <w:rPr>
          <w:color w:val="000000" w:themeColor="text1"/>
          <w:sz w:val="24"/>
          <w:szCs w:val="24"/>
        </w:rPr>
        <w:t>On behalf of Ashit Kumar Dutta and Nasser Ali Aljarallah</w:t>
      </w:r>
    </w:p>
    <w:sectPr w:rsidR="00227043" w:rsidRPr="000D7430" w:rsidSect="00034616">
      <w:pgSz w:w="11906" w:h="16838"/>
      <w:pgMar w:top="130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61910">
    <w:abstractNumId w:val="8"/>
  </w:num>
  <w:num w:numId="2" w16cid:durableId="527570018">
    <w:abstractNumId w:val="6"/>
  </w:num>
  <w:num w:numId="3" w16cid:durableId="512115938">
    <w:abstractNumId w:val="5"/>
  </w:num>
  <w:num w:numId="4" w16cid:durableId="1611862977">
    <w:abstractNumId w:val="4"/>
  </w:num>
  <w:num w:numId="5" w16cid:durableId="749885117">
    <w:abstractNumId w:val="7"/>
  </w:num>
  <w:num w:numId="6" w16cid:durableId="651065187">
    <w:abstractNumId w:val="3"/>
  </w:num>
  <w:num w:numId="7" w16cid:durableId="1082024326">
    <w:abstractNumId w:val="2"/>
  </w:num>
  <w:num w:numId="8" w16cid:durableId="1847863390">
    <w:abstractNumId w:val="1"/>
  </w:num>
  <w:num w:numId="9" w16cid:durableId="91509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430"/>
    <w:rsid w:val="0015074B"/>
    <w:rsid w:val="00227043"/>
    <w:rsid w:val="0029639D"/>
    <w:rsid w:val="00311ABB"/>
    <w:rsid w:val="00326F90"/>
    <w:rsid w:val="00704036"/>
    <w:rsid w:val="007B113E"/>
    <w:rsid w:val="00AA1D8D"/>
    <w:rsid w:val="00B47730"/>
    <w:rsid w:val="00BE435A"/>
    <w:rsid w:val="00CB0664"/>
    <w:rsid w:val="00CC3C16"/>
    <w:rsid w:val="00ED1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421B5"/>
  <w14:defaultImageDpi w14:val="300"/>
  <w15:docId w15:val="{C58294F8-7CAC-4884-B294-EBE693C1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Palatino Linotype" w:eastAsia="Palatino Linotype" w:hAnsi="Palatino Linotyp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Cover Letter — Speech and Braille Technologies for School-Age Children and Adolescents with Disabilities: A Function-Stratified Synthesis and Evidence Map of Learner-Level Outcomes</vt:lpstr>
    </vt:vector>
  </TitlesOfParts>
  <Manager/>
  <Company/>
  <LinksUpToDate>false</LinksUpToDate>
  <CharactersWithSpaces>2253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Speech and Braille Technologies for School-Age Children and Adolescents with Disabilities: A Function-Stratified Synthesis and Evidence Map of Learner-Level Outcomes</dc:title>
  <dc:subject>Submission to Children (MDPI)</dc:subject>
  <dc:creator>Ashit Kumar Dutta; Nasser Ali Aljarallah</dc:creator>
  <cp:keywords/>
  <dc:description>generated by python-docx</dc:description>
  <cp:lastModifiedBy>اسامة محمد السيد</cp:lastModifiedBy>
  <cp:revision>9</cp:revision>
  <dcterms:created xsi:type="dcterms:W3CDTF">2013-12-23T23:15:00Z</dcterms:created>
  <dcterms:modified xsi:type="dcterms:W3CDTF">2026-09-23T17:54:00Z</dcterms:modified>
  <cp:category/>
</cp:coreProperties>
</file>