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23393" w14:textId="77777777" w:rsidR="00247DDB" w:rsidRPr="000D7AD8" w:rsidRDefault="00247DDB" w:rsidP="00FA3395">
      <w:pPr>
        <w:pStyle w:val="MDPI11articletype"/>
        <w:spacing w:after="240"/>
      </w:pPr>
      <w:r>
        <w:t>Systematic Review</w:t>
      </w:r>
    </w:p>
    <w:p w14:paraId="41019D84" w14:textId="77777777" w:rsidR="00247DDB" w:rsidRPr="000D7AD8" w:rsidRDefault="00967978" w:rsidP="00FA3395">
      <w:pPr>
        <w:pStyle w:val="MDPI12title"/>
        <w:jc w:val="both"/>
      </w:pPr>
      <w:r w:rsidRPr="00967978">
        <w:t>Speech and Braille Technologies for School-Age Children and Adolescents with Disabilities: A Function-Stratified Synthesis and Evidence Map of Learner-Level Outcomes</w:t>
      </w:r>
    </w:p>
    <w:p w14:paraId="7604A864" w14:textId="77777777" w:rsidR="000A686C" w:rsidRPr="006967BB" w:rsidRDefault="003E34BB" w:rsidP="00247DDB">
      <w:pPr>
        <w:pStyle w:val="MDPI13authornames"/>
        <w:rPr>
          <w:lang w:val="nb-NO"/>
        </w:rPr>
      </w:pPr>
      <w:r w:rsidRPr="006967BB">
        <w:rPr>
          <w:lang w:val="nb-NO"/>
        </w:rPr>
        <w:t>Ashit Kumar Dutta</w:t>
      </w:r>
      <w:r w:rsidR="000A61DC" w:rsidRPr="006967BB">
        <w:rPr>
          <w:vertAlign w:val="superscript"/>
          <w:lang w:val="nb-NO"/>
        </w:rPr>
        <w:t>1,</w:t>
      </w:r>
      <w:r w:rsidRPr="006967BB">
        <w:rPr>
          <w:vertAlign w:val="superscript"/>
          <w:lang w:val="nb-NO"/>
        </w:rPr>
        <w:t>2</w:t>
      </w:r>
      <w:r w:rsidR="000A61DC" w:rsidRPr="006967BB">
        <w:rPr>
          <w:lang w:val="nb-NO"/>
        </w:rPr>
        <w:t xml:space="preserve"> </w:t>
      </w:r>
      <w:r w:rsidRPr="006967BB">
        <w:rPr>
          <w:lang w:val="nb-NO"/>
        </w:rPr>
        <w:t>*</w:t>
      </w:r>
      <w:r w:rsidR="006967BB" w:rsidRPr="006967BB">
        <w:rPr>
          <w:lang w:val="nb-NO"/>
        </w:rPr>
        <w:t xml:space="preserve"> and </w:t>
      </w:r>
      <w:r w:rsidR="004569AB" w:rsidRPr="006967BB">
        <w:rPr>
          <w:lang w:val="nb-NO"/>
        </w:rPr>
        <w:t>Nasser Ali Aljarallah</w:t>
      </w:r>
      <w:r w:rsidR="00017A9B" w:rsidRPr="006967BB">
        <w:rPr>
          <w:vertAlign w:val="superscript"/>
          <w:lang w:val="nb-NO"/>
        </w:rPr>
        <w:t>2</w:t>
      </w:r>
      <w:r w:rsidR="00E36CA4" w:rsidRPr="006967BB">
        <w:rPr>
          <w:vertAlign w:val="superscript"/>
          <w:lang w:val="nb-NO"/>
        </w:rPr>
        <w:t>,3</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0A686C" w:rsidRPr="000D7AD8" w14:paraId="77353CDE" w14:textId="77777777" w:rsidTr="000D20E3">
        <w:tc>
          <w:tcPr>
            <w:tcW w:w="2410" w:type="dxa"/>
          </w:tcPr>
          <w:p w14:paraId="2BBD038F" w14:textId="77777777" w:rsidR="000A686C" w:rsidRPr="000D7AD8" w:rsidRDefault="000A686C" w:rsidP="000D20E3">
            <w:pPr>
              <w:pStyle w:val="MDPI15academiceditor"/>
              <w:spacing w:before="0" w:after="120"/>
            </w:pPr>
            <w:r>
              <w:t>Academic Editor: To be assigned</w:t>
            </w:r>
          </w:p>
          <w:p w14:paraId="0D3E48EA" w14:textId="77777777" w:rsidR="000A686C" w:rsidRPr="000D7AD8" w:rsidRDefault="000A686C" w:rsidP="000D20E3">
            <w:pPr>
              <w:pStyle w:val="MDPI14history"/>
              <w:spacing w:before="120"/>
            </w:pPr>
            <w:r>
              <w:t>Received:</w:t>
            </w:r>
          </w:p>
          <w:p w14:paraId="297FE2D2" w14:textId="77777777" w:rsidR="000A686C" w:rsidRPr="000D7AD8" w:rsidRDefault="000A686C" w:rsidP="000D20E3">
            <w:pPr>
              <w:pStyle w:val="MDPI14history"/>
            </w:pPr>
            <w:r>
              <w:t>Revised:</w:t>
            </w:r>
          </w:p>
          <w:p w14:paraId="2A2D5367" w14:textId="77777777" w:rsidR="000A686C" w:rsidRPr="000D7AD8" w:rsidRDefault="000A686C" w:rsidP="000D20E3">
            <w:pPr>
              <w:pStyle w:val="MDPI14history"/>
            </w:pPr>
            <w:r>
              <w:t>Accepted:</w:t>
            </w:r>
          </w:p>
          <w:p w14:paraId="27E56A57" w14:textId="77777777" w:rsidR="000A686C" w:rsidRPr="000D7AD8" w:rsidRDefault="000A686C" w:rsidP="000D20E3">
            <w:pPr>
              <w:pStyle w:val="MDPI14history"/>
              <w:spacing w:after="120"/>
            </w:pPr>
            <w:r>
              <w:t>Published:</w:t>
            </w:r>
          </w:p>
          <w:p w14:paraId="272D4FDE" w14:textId="77777777" w:rsidR="000A686C" w:rsidRPr="000D7AD8" w:rsidRDefault="000A686C" w:rsidP="000D20E3">
            <w:pPr>
              <w:pStyle w:val="MDPI61citation"/>
              <w:rPr>
                <w:lang w:bidi="en-US"/>
              </w:rPr>
            </w:pPr>
            <w:r>
              <w:t>Citation: To be added by editorial staff during production.</w:t>
            </w:r>
          </w:p>
          <w:p w14:paraId="105DBD56" w14:textId="77777777" w:rsidR="000A686C" w:rsidRPr="000D7AD8" w:rsidRDefault="000A686C" w:rsidP="000D20E3">
            <w:pPr>
              <w:pStyle w:val="MDPI72copyright"/>
              <w:rPr>
                <w:rFonts w:eastAsia="DengXian"/>
                <w:noProof w:val="0"/>
                <w:lang w:val="en-US" w:bidi="en-US"/>
              </w:rPr>
            </w:pPr>
            <w:r>
              <w:t>Copyright: © 2026 by the authors. Submitted for possible open access publication under the terms and conditions of the Creative Commons Attribution (CC BY) license (https://creativecommons.org/licenses/by/4.0/).</w:t>
            </w:r>
          </w:p>
        </w:tc>
      </w:tr>
    </w:tbl>
    <w:p w14:paraId="506D0C6E" w14:textId="77777777" w:rsidR="00247DDB" w:rsidRPr="000A61DC" w:rsidRDefault="00661C0A" w:rsidP="00247DDB">
      <w:pPr>
        <w:pStyle w:val="MDPI16affiliation"/>
      </w:pPr>
      <w:r w:rsidRPr="000A61DC">
        <w:rPr>
          <w:vertAlign w:val="superscript"/>
        </w:rPr>
        <w:t>1</w:t>
      </w:r>
      <w:r w:rsidR="00247DDB" w:rsidRPr="000A61DC">
        <w:tab/>
      </w:r>
      <w:r w:rsidR="003E34BB" w:rsidRPr="003E34BB">
        <w:t xml:space="preserve">Department of Computer Science and Information Systems, College of Medical </w:t>
      </w:r>
      <w:r w:rsidR="00E36CA4" w:rsidRPr="003E34BB">
        <w:t>Sciences, AlMaarefa</w:t>
      </w:r>
      <w:r w:rsidR="003E34BB" w:rsidRPr="003E34BB">
        <w:t xml:space="preserve"> University, Riyadh, Saudi Arabia</w:t>
      </w:r>
      <w:r w:rsidR="00832849">
        <w:t xml:space="preserve">; </w:t>
      </w:r>
      <w:hyperlink r:id="rId7" w:history="1">
        <w:r w:rsidR="00832849" w:rsidRPr="00930107">
          <w:rPr>
            <w:rStyle w:val="Hyperlink"/>
          </w:rPr>
          <w:t>adotta@um.edu.sa</w:t>
        </w:r>
      </w:hyperlink>
    </w:p>
    <w:p w14:paraId="0282B480" w14:textId="77777777" w:rsidR="00247DDB" w:rsidRDefault="00247DDB" w:rsidP="00247DDB">
      <w:pPr>
        <w:pStyle w:val="MDPI16affiliation"/>
      </w:pPr>
      <w:r w:rsidRPr="00C02FBB">
        <w:rPr>
          <w:vertAlign w:val="superscript"/>
        </w:rPr>
        <w:t>2</w:t>
      </w:r>
      <w:r w:rsidRPr="00C02FBB">
        <w:tab/>
      </w:r>
      <w:r w:rsidR="004569AB" w:rsidRPr="004569AB">
        <w:t>King Salman Center for Disability Research, Riyadh, Saudi Arabia</w:t>
      </w:r>
      <w:r w:rsidR="00E36CA4">
        <w:t>.</w:t>
      </w:r>
    </w:p>
    <w:p w14:paraId="6B53527D" w14:textId="77777777" w:rsidR="00E36CA4" w:rsidRPr="000A61DC" w:rsidRDefault="00E36CA4" w:rsidP="00832849">
      <w:pPr>
        <w:pStyle w:val="MDPI16affiliation"/>
      </w:pPr>
      <w:r>
        <w:rPr>
          <w:vertAlign w:val="superscript"/>
        </w:rPr>
        <w:t>3</w:t>
      </w:r>
      <w:r w:rsidRPr="000A61DC">
        <w:tab/>
      </w:r>
      <w:r w:rsidR="00832849">
        <w:t xml:space="preserve">Dean, Makkah National College (MNC), Makkah, Saudi Arabia; </w:t>
      </w:r>
      <w:hyperlink r:id="rId8" w:history="1">
        <w:r w:rsidR="00832849" w:rsidRPr="00930107">
          <w:rPr>
            <w:rStyle w:val="Hyperlink"/>
          </w:rPr>
          <w:t>naljarallah@mnc.edu.sa</w:t>
        </w:r>
      </w:hyperlink>
      <w:r w:rsidR="008765A7">
        <w:t xml:space="preserve"> </w:t>
      </w:r>
    </w:p>
    <w:p w14:paraId="769063E5" w14:textId="77777777" w:rsidR="004569AB" w:rsidRPr="00C02FBB" w:rsidRDefault="004569AB" w:rsidP="00C12BC6">
      <w:pPr>
        <w:pStyle w:val="MDPI16affiliation"/>
        <w:ind w:left="0" w:firstLine="0"/>
        <w:rPr>
          <w:rtl/>
          <w:lang w:bidi="ar-SA"/>
        </w:rPr>
      </w:pPr>
    </w:p>
    <w:p w14:paraId="1C553AE9" w14:textId="77777777" w:rsidR="00247DDB" w:rsidRPr="000D7AD8" w:rsidRDefault="00247DDB" w:rsidP="00247DDB">
      <w:pPr>
        <w:pStyle w:val="MDPI16affiliation"/>
        <w:rPr>
          <w:rFonts w:eastAsiaTheme="minorEastAsia"/>
          <w:lang w:eastAsia="zh-CN"/>
        </w:rPr>
      </w:pPr>
      <w:r w:rsidRPr="00C12BC6">
        <w:rPr>
          <w:b/>
        </w:rPr>
        <w:t>*</w:t>
      </w:r>
      <w:r w:rsidRPr="00C12BC6">
        <w:tab/>
        <w:t xml:space="preserve">Correspondence: </w:t>
      </w:r>
      <w:hyperlink r:id="rId9" w:history="1">
        <w:r w:rsidR="005C39DE" w:rsidRPr="00930107">
          <w:rPr>
            <w:rStyle w:val="Hyperlink"/>
          </w:rPr>
          <w:t>adotta@um.edu.sa</w:t>
        </w:r>
      </w:hyperlink>
      <w:r w:rsidR="005C39DE">
        <w:t xml:space="preserve"> </w:t>
      </w:r>
    </w:p>
    <w:p w14:paraId="0CC1B3B8" w14:textId="77777777" w:rsidR="000A12FF" w:rsidRPr="001E3E39" w:rsidRDefault="000A12FF" w:rsidP="001E3E39">
      <w:pPr>
        <w:pStyle w:val="MDPI17abstract"/>
        <w:rPr>
          <w:rFonts w:eastAsiaTheme="minorEastAsia"/>
          <w:b/>
          <w:bCs/>
        </w:rPr>
      </w:pPr>
      <w:r w:rsidRPr="001E3E39">
        <w:rPr>
          <w:b/>
          <w:bCs/>
        </w:rPr>
        <w:t>Highlights</w:t>
      </w:r>
    </w:p>
    <w:p w14:paraId="7E1860B9" w14:textId="77777777" w:rsidR="00313899" w:rsidRPr="000D7AD8" w:rsidRDefault="00313899" w:rsidP="00E43B59">
      <w:pPr>
        <w:pStyle w:val="MDPI31text"/>
        <w:spacing w:before="60" w:after="60"/>
        <w:ind w:firstLine="0"/>
        <w:rPr>
          <w:rFonts w:eastAsiaTheme="minorEastAsia"/>
          <w:b/>
          <w:bCs/>
          <w:szCs w:val="20"/>
          <w:lang w:eastAsia="zh-CN"/>
        </w:rPr>
      </w:pPr>
      <w:r w:rsidRPr="000D7AD8">
        <w:rPr>
          <w:b/>
          <w:bCs/>
          <w:szCs w:val="20"/>
        </w:rPr>
        <w:t>What are the main findings?</w:t>
      </w:r>
    </w:p>
    <w:p w14:paraId="084392F8" w14:textId="77777777" w:rsidR="000A61DC" w:rsidRPr="000A61DC" w:rsidRDefault="000A61DC" w:rsidP="000A61DC">
      <w:pPr>
        <w:pStyle w:val="MDPI38bullet"/>
        <w:rPr>
          <w:szCs w:val="20"/>
        </w:rPr>
      </w:pPr>
      <w:r>
        <w:t xml:space="preserve">Speech-to-text and text-to-speech findings varied by learner, task, and outcome; the largest controlled mixed TTS/STT study (n = 149; serious risk of bias) reported </w:t>
      </w:r>
      <w:proofErr w:type="gramStart"/>
      <w:r>
        <w:t>no</w:t>
      </w:r>
      <w:proofErr w:type="gramEnd"/>
      <w:r>
        <w:t xml:space="preserve"> statistically detectable overall between-group difference.</w:t>
      </w:r>
    </w:p>
    <w:p w14:paraId="2369EE04" w14:textId="77777777" w:rsidR="00313899" w:rsidRPr="000D7AD8" w:rsidRDefault="000A61DC" w:rsidP="000A61DC">
      <w:pPr>
        <w:pStyle w:val="MDPI38bullet"/>
        <w:rPr>
          <w:rFonts w:eastAsiaTheme="minorEastAsia"/>
        </w:rPr>
      </w:pPr>
      <w:r w:rsidRPr="000A61DC">
        <w:rPr>
          <w:szCs w:val="20"/>
        </w:rPr>
        <w:t>Certainty was very low for every populated technology–outcome evidence body, and the completed search identified no eligible learner-level evaluation of automatic classroom captioning or optical Braille recognition</w:t>
      </w:r>
      <w:r w:rsidR="00313899" w:rsidRPr="000D7AD8">
        <w:rPr>
          <w:szCs w:val="20"/>
        </w:rPr>
        <w:t>.</w:t>
      </w:r>
    </w:p>
    <w:p w14:paraId="31DCD297" w14:textId="77777777" w:rsidR="00313899" w:rsidRPr="000D7AD8" w:rsidRDefault="00B14174" w:rsidP="00313899">
      <w:pPr>
        <w:pStyle w:val="MDPI31text"/>
        <w:ind w:firstLine="0"/>
        <w:rPr>
          <w:rFonts w:eastAsiaTheme="minorEastAsia"/>
          <w:b/>
          <w:bCs/>
          <w:szCs w:val="20"/>
          <w:lang w:eastAsia="zh-CN"/>
        </w:rPr>
      </w:pPr>
      <w:r>
        <w:rPr>
          <w:b/>
          <w:bCs/>
          <w:szCs w:val="20"/>
        </w:rPr>
        <w:t>What are the implications of the main findings?</w:t>
      </w:r>
    </w:p>
    <w:p w14:paraId="7F87BB1A" w14:textId="77777777" w:rsidR="000A61DC" w:rsidRPr="000A61DC" w:rsidRDefault="000A61DC" w:rsidP="000A61DC">
      <w:pPr>
        <w:pStyle w:val="MDPI38bullet"/>
        <w:rPr>
          <w:szCs w:val="20"/>
        </w:rPr>
      </w:pPr>
      <w:r>
        <w:t xml:space="preserve">The evidence does not support universal adoption. Where STT or TTS </w:t>
      </w:r>
      <w:proofErr w:type="gramStart"/>
      <w:r>
        <w:t>is</w:t>
      </w:r>
      <w:proofErr w:type="gramEnd"/>
      <w:r>
        <w:t xml:space="preserve"> already used, it should be individually </w:t>
      </w:r>
      <w:proofErr w:type="gramStart"/>
      <w:r>
        <w:t>trialled</w:t>
      </w:r>
      <w:proofErr w:type="gramEnd"/>
      <w:r>
        <w:t>, explicitly taught, and monitored against prespecified learner-level goals and burden; this is a pragmatic safeguard rather than an effect conclusion from the evidence base.</w:t>
      </w:r>
    </w:p>
    <w:p w14:paraId="1521C2E4" w14:textId="77777777" w:rsidR="00313899" w:rsidRPr="000D7AD8" w:rsidRDefault="000A61DC" w:rsidP="000A61DC">
      <w:pPr>
        <w:pStyle w:val="MDPI38bullet"/>
        <w:rPr>
          <w:rFonts w:eastAsiaTheme="minorEastAsia"/>
        </w:rPr>
      </w:pPr>
      <w:r w:rsidRPr="000A61DC">
        <w:rPr>
          <w:szCs w:val="20"/>
        </w:rPr>
        <w:t>Adequately powered trials and standards-compliant single-case experiments of current-generation systems are needed, particularly for automatic classroom captioning, optical Braille recognition, and artificial-intelligence-assisted Braille instruction</w:t>
      </w:r>
      <w:r w:rsidR="00313899" w:rsidRPr="000D7AD8">
        <w:rPr>
          <w:szCs w:val="20"/>
        </w:rPr>
        <w:t>.</w:t>
      </w:r>
    </w:p>
    <w:p w14:paraId="4B3E74C7" w14:textId="77777777" w:rsidR="00247787" w:rsidRPr="00247787" w:rsidRDefault="00220B46" w:rsidP="00247787">
      <w:pPr>
        <w:pStyle w:val="MDPI17abstract"/>
        <w:jc w:val="left"/>
        <w:rPr>
          <w:b/>
          <w:szCs w:val="18"/>
        </w:rPr>
      </w:pPr>
      <w:r w:rsidRPr="00247787">
        <w:rPr>
          <w:b/>
          <w:szCs w:val="18"/>
        </w:rPr>
        <w:t>Abstract</w:t>
      </w:r>
    </w:p>
    <w:p w14:paraId="3612C8DD" w14:textId="77777777" w:rsidR="00220B46" w:rsidRPr="000D7AD8" w:rsidRDefault="00D14635" w:rsidP="00247787">
      <w:pPr>
        <w:pStyle w:val="MDPI17abstract"/>
        <w:spacing w:before="0" w:after="0"/>
        <w:rPr>
          <w:rFonts w:eastAsiaTheme="minorEastAsia"/>
          <w:szCs w:val="18"/>
          <w:lang w:eastAsia="zh-CN"/>
        </w:rPr>
      </w:pPr>
      <w:r>
        <w:rPr>
          <w:b/>
        </w:rPr>
        <w:t xml:space="preserve">Background/Objectives: </w:t>
      </w:r>
      <w:r>
        <w:t xml:space="preserve">Speech and Braille technologies may reduce barriers to learning and participation, but learner-level findings have not been mapped across distinct functions. This review synthesised outcomes among school-age learners with documented disabilities or assessment-defined difficulties. </w:t>
      </w:r>
      <w:r>
        <w:rPr>
          <w:b/>
        </w:rPr>
        <w:t xml:space="preserve">Methods: </w:t>
      </w:r>
      <w:r>
        <w:t xml:space="preserve">Peer-reviewed reports using randomised, non-randomised comparative, within-participant, or single-case intervention designs and reporting learner-level outcomes were eligible. PubMed, Web of Science, Scopus, PsycINFO, Google Scholar, citation, and publisher-platform searches were completed by 23 July 2026. Risk of bias was assessed with RoB 2, ROBINS-I, and What Works Clearinghouse standards; synthesis followed SWiM and </w:t>
      </w:r>
      <w:proofErr w:type="gramStart"/>
      <w:r>
        <w:t>certainty</w:t>
      </w:r>
      <w:proofErr w:type="gramEnd"/>
      <w:r>
        <w:t xml:space="preserve"> used GRADE. The protocol was prospectively registered (PROSPERO CRD420261513927). </w:t>
      </w:r>
      <w:r>
        <w:rPr>
          <w:b/>
        </w:rPr>
        <w:t xml:space="preserve">Results: </w:t>
      </w:r>
      <w:r>
        <w:t xml:space="preserve">Twenty-seven reports represented up to 26 study series and 670 enrolled learners (577 with disabilities), plus seven teachers; unresolved cohort overlap makes learner totals upper bounds. Seven reports evaluated speech-to-text, 19 evaluated text-to-speech or mixed technologies, and one evaluated an adaptive Braille Tutor. The largest controlled mixed TTS/STT study (n = 149; serious risk of bias) detected no between-group difference. Some </w:t>
      </w:r>
      <w:proofErr w:type="gramStart"/>
      <w:r>
        <w:lastRenderedPageBreak/>
        <w:t>speech</w:t>
      </w:r>
      <w:proofErr w:type="gramEnd"/>
      <w:r>
        <w:t xml:space="preserve">-to-text studies found greater productivity or fewer residual text errors, but effects on text quality were inconsistent. No learner-level evaluation of automatic classroom captioning or optical Braille recognition was located. All seven populated evidence bodies had very low certainty; restricted search coverage and single-reviewer processes reduce completeness and confidence. </w:t>
      </w:r>
      <w:r>
        <w:rPr>
          <w:b/>
        </w:rPr>
        <w:t xml:space="preserve">Conclusions: </w:t>
      </w:r>
      <w:r>
        <w:t>The evidence does not establish general effectiveness. Responses varied by learner, task, and outcome. Existing use should be monitored, while updated searching and independent duplicate review are needed before firm practice or policy recommendations are made.</w:t>
      </w:r>
    </w:p>
    <w:p w14:paraId="09B0A692" w14:textId="77777777" w:rsidR="00247DDB" w:rsidRPr="000D7AD8" w:rsidRDefault="00247DDB" w:rsidP="00CA5C88">
      <w:pPr>
        <w:pStyle w:val="MDPI18keywords"/>
        <w:rPr>
          <w:szCs w:val="18"/>
        </w:rPr>
      </w:pPr>
      <w:r w:rsidRPr="000D7AD8">
        <w:rPr>
          <w:b/>
          <w:szCs w:val="18"/>
        </w:rPr>
        <w:t xml:space="preserve">Keywords: </w:t>
      </w:r>
      <w:r w:rsidR="009C55B7" w:rsidRPr="009C55B7">
        <w:rPr>
          <w:szCs w:val="18"/>
        </w:rPr>
        <w:t>assistive technology; speech-to-text; text-to-speech; automatic captioning; Braille; artificial intelligence; children with disabilities; systematic review; evidence map</w:t>
      </w:r>
      <w:r w:rsidRPr="000D7AD8">
        <w:rPr>
          <w:szCs w:val="18"/>
        </w:rPr>
        <w:t>.</w:t>
      </w:r>
    </w:p>
    <w:p w14:paraId="58F2F22C" w14:textId="77777777" w:rsidR="00247DDB" w:rsidRPr="000D7AD8" w:rsidRDefault="00247DDB" w:rsidP="00CA5C88">
      <w:pPr>
        <w:pStyle w:val="MDPI19line"/>
      </w:pPr>
    </w:p>
    <w:p w14:paraId="7B417898" w14:textId="77777777" w:rsidR="00247DDB" w:rsidRPr="000D7AD8" w:rsidRDefault="00247DDB" w:rsidP="00CA5C88">
      <w:pPr>
        <w:pStyle w:val="MDPI21heading1"/>
      </w:pPr>
      <w:r w:rsidRPr="000D7AD8">
        <w:t>1. Introduction</w:t>
      </w:r>
    </w:p>
    <w:p w14:paraId="19BC4DAA" w14:textId="77777777" w:rsidR="00C02FBB" w:rsidRDefault="00C02FBB" w:rsidP="00C02FBB">
      <w:pPr>
        <w:pStyle w:val="MDPI31text"/>
      </w:pPr>
      <w:r>
        <w:t>Equitable participation in primary and secondary education requires timely access to spoken instruction, written information, and an appropriate literacy medium, and both international disability law and global assistive-technology policy identify such access as an entitlement rather than a concession [1]. Children and adolescents with sensory, learning, intellectual, or neurodevelopmental disabilities may encounter barriers to hearing classroom discourse, decoding print, producing written work, or acquiring Braille; these barriers can restrict participation, increase task burden, and obscure a learner’s knowledge when performance depends on an inaccessible mode of communication [2]. Assistive technology is intended to reduce this mismatch; however, service-delivery research shows that a substantial proportion of assigned devices are underused or abandoned, and access to a device or favourable technical performance does not, by itself, establish an educational benefit [2,3]. This distinction is relevant to school health and pediatric disability services because communication and literacy access can affect participation, independence, fatigue, and well-being even when outcomes are measured in educational settings [4].</w:t>
      </w:r>
    </w:p>
    <w:p w14:paraId="67FC42B4" w14:textId="77777777" w:rsidR="00C02FBB" w:rsidRDefault="00C02FBB" w:rsidP="00C02FBB">
      <w:pPr>
        <w:pStyle w:val="MDPI31text"/>
      </w:pPr>
      <w:r>
        <w:t xml:space="preserve">The technologies considered in this review address different barriers through different mechanisms. Speech-to-text (STT) used for dictation converts a learner’s spoken language into written text and may reduce handwriting, spelling, or transcription demands [5]. Text-to-speech (TTS) converts digital text into </w:t>
      </w:r>
      <w:r w:rsidR="00C74661">
        <w:t>synthesised</w:t>
      </w:r>
      <w:r>
        <w:t xml:space="preserve"> speech and may reduce decoding demands while supporting access to meaning [6]. Automatic captioning also uses automatic speech recognition but converts teachers’ or classmates’ speech into real-time visual text to support access for deaf and hard-of-hearing learners [7]. AI-assisted Braille-learning systems provide adaptive practice and feedback during Braille acquisition [8], whereas optical Braille recognition (OBR) converts images of embossed Braille into print or speech [9,10]. Because these functions are not interchangeable, evidence for one should not be </w:t>
      </w:r>
      <w:r w:rsidR="00C74661">
        <w:t>generalised</w:t>
      </w:r>
      <w:r>
        <w:t xml:space="preserve"> to another [5–10].</w:t>
      </w:r>
    </w:p>
    <w:p w14:paraId="5397EC53" w14:textId="77777777" w:rsidR="00C02FBB" w:rsidRDefault="00C02FBB" w:rsidP="00C02FBB">
      <w:pPr>
        <w:pStyle w:val="MDPI31text"/>
      </w:pPr>
      <w:r>
        <w:t xml:space="preserve">Evaluation must also distinguish technical and process measures from learner-level outcomes, a distinction that is central to conceptual models of assistive-technology outcomes research [11]. Recognition accuracy, word-error rate, character-error rate, latency, and usability describe system performance or implementation, whereas writing quality, reading or listening comprehension, curricular attainment, Braille mastery, participation, independence, and task burden describe consequences for the learner [11,12]. Educational effects may further depend on age, disability profile, baseline literacy and technology skills, language and accent, classroom acoustics, task complexity, explicit training, implementation fidelity, and continuing teacher or technical support [6,13]. Accordingly, the clinically and educationally relevant question is not simply whether </w:t>
      </w:r>
      <w:proofErr w:type="gramStart"/>
      <w:r>
        <w:t>a technology</w:t>
      </w:r>
      <w:proofErr w:type="gramEnd"/>
      <w:r>
        <w:t xml:space="preserve"> </w:t>
      </w:r>
      <w:r>
        <w:lastRenderedPageBreak/>
        <w:t>functions, but for whom, for which barrier, under what conditions, and with what learner-level effect [6,11,13].</w:t>
      </w:r>
    </w:p>
    <w:p w14:paraId="06520C70" w14:textId="77777777" w:rsidR="00C02FBB" w:rsidRDefault="00C02FBB" w:rsidP="00C02FBB">
      <w:pPr>
        <w:pStyle w:val="MDPI31text"/>
      </w:pPr>
      <w:r>
        <w:t xml:space="preserve">Previous reviews suggest potential </w:t>
      </w:r>
      <w:proofErr w:type="gramStart"/>
      <w:r>
        <w:t>benefit</w:t>
      </w:r>
      <w:proofErr w:type="gramEnd"/>
      <w:r>
        <w:t xml:space="preserve"> but also show that the evidence is fragmented. A meta-analysis of TTS and related read-aloud tools reported a modest average improvement in reading comprehension, with substantial heterogeneity across studies and designs [6]. A scoping review of STT for adolescents with learning difficulties identified limited high-quality experimental evidence and called for stronger evaluations of writing outcomes [5]. A systematic review of technology-supported Braille literacy found a small, methodologically weak evidence base [12], and a review of captioning and signed access located only a few experimental comparisons [14]. Technical studies have documented improving automatic speech-recognition and OBR performance [9,10,15], but technical accuracy cannot establish learning, participation, or authentic classroom accessibility [11,15].</w:t>
      </w:r>
    </w:p>
    <w:p w14:paraId="14B3E7D4" w14:textId="77777777" w:rsidR="00C02FBB" w:rsidRDefault="00C02FBB" w:rsidP="00C02FBB">
      <w:pPr>
        <w:pStyle w:val="MDPI31text"/>
      </w:pPr>
      <w:r>
        <w:t>Previous reviews have addressed TTS, STT, technology-supported Braille literacy, and captioning separately; we found no prior review that mapped learner-level evidence across all five functions using a common outcome taxonomy. These technologies address different functional barriers and are not interchangeable alternatives. They are examined together only to map the maturity of learner-level evidence across communication-access functions; all syntheses and conclusions remain function-specific. Existing reviews differ in population, educational stage, technology definition, eligible design, and treatment of technical outcomes, and rarely distinguish multiple reports from independent study series [5,6,12,14]. This gap creates a risk that technical accuracy will be mistaken for educational effectiveness, that favourable findings from small studies will be generalised beyond the learners studied, or that an absence of located evidence will be misinterpreted as evidence of ineffectiveness [3,11].</w:t>
      </w:r>
    </w:p>
    <w:p w14:paraId="54D159E6" w14:textId="77777777" w:rsidR="00247DDB" w:rsidRPr="000D7AD8" w:rsidRDefault="00C02FBB" w:rsidP="00C02FBB">
      <w:pPr>
        <w:pStyle w:val="MDPI31text"/>
      </w:pPr>
      <w:r>
        <w:t>This review therefore aimed to map and synthesise learner-level educational and accessibility outcomes associated with STT, TTS, automatic captioning, adaptive Braille-learning systems, and OBR technologies among children and adolescents with disabilities in primary or secondary educational contexts. The objectives were to: (i) characterise the populations, technologies, comparators, outcomes, and study designs evaluated; (ii) synthesise findings separately by technology function and outcome domain while preventing double counting of overlapping reports; (iii) appraise methodological limitations using design-appropriate instruments and assess the certainty of each technology–outcome evidence body; and (iv) identify functions for which no eligible learner-level evaluation was located. Although the included outcomes were educational, communication and literacy access are important components of functioning and participation for children with disabilities. The review therefore has indirect relevance to pediatric rehabilitation and disability care; it does not evaluate clinical, nursing-led, or health outcomes.</w:t>
      </w:r>
    </w:p>
    <w:p w14:paraId="7E72BAFF" w14:textId="77777777" w:rsidR="00247DDB" w:rsidRPr="000D7AD8" w:rsidRDefault="00247DDB" w:rsidP="00CA5C88">
      <w:pPr>
        <w:pStyle w:val="MDPI21heading1"/>
      </w:pPr>
      <w:r w:rsidRPr="000D7AD8">
        <w:rPr>
          <w:lang w:eastAsia="zh-CN"/>
        </w:rPr>
        <w:t xml:space="preserve">2. </w:t>
      </w:r>
      <w:r w:rsidRPr="000D7AD8">
        <w:t>Materials and Methods</w:t>
      </w:r>
    </w:p>
    <w:p w14:paraId="127CBECD" w14:textId="77777777" w:rsidR="00080503" w:rsidRDefault="00080503" w:rsidP="00080503">
      <w:pPr>
        <w:pStyle w:val="MDPI22heading2"/>
      </w:pPr>
      <w:r>
        <w:t>2.1. Review Design, Protocol, and Reporting Framework</w:t>
      </w:r>
    </w:p>
    <w:p w14:paraId="56B0832E" w14:textId="77777777" w:rsidR="00080503" w:rsidRDefault="00080503" w:rsidP="00080503">
      <w:pPr>
        <w:pStyle w:val="MDPI31text"/>
      </w:pPr>
      <w:r>
        <w:t>This systematic review examined learner-level educational and accessibility outcomes reported for speech and Braille technologies among school-age children and adolescents with disabilities. The review question was structured according to population, intervention, comparator, outcome, and study design: among school-age learners with documented disabilities or prespecified assessment-defined difficulties affecting access to spoken or printed classroom information, what learner-level outcomes have been reported under eligible STT, TTS, automatic-captioning, adaptive Braille-learning, or OBR conditions relative to usual instruction, no technology, an alternative accommodation, or a prospectively observed within-participant comparison?</w:t>
      </w:r>
    </w:p>
    <w:p w14:paraId="4CA56B34" w14:textId="77777777" w:rsidR="00080503" w:rsidRDefault="00C74661" w:rsidP="00080503">
      <w:pPr>
        <w:pStyle w:val="MDPI31text"/>
      </w:pPr>
      <w:r>
        <w:lastRenderedPageBreak/>
        <w:t>Randomised trials, non-randomised</w:t>
      </w:r>
      <w:r w:rsidR="00080503">
        <w:t xml:space="preserve"> comparative studies, counterbalanced within-participant experiments, and single-case experimental designs were eligible because the evidence base spans educational, clinical, and assistive-technology research traditions. Reporting was guided by PRISMA 2020, PRISMA 2020 for Abstracts, and PRISMA-S, and synthesis without meta-analysis was structured using </w:t>
      </w:r>
      <w:proofErr w:type="spellStart"/>
      <w:r w:rsidR="00080503">
        <w:t>SWiM</w:t>
      </w:r>
      <w:proofErr w:type="spellEnd"/>
      <w:r w:rsidR="00080503">
        <w:t xml:space="preserve"> [16–18]. The protocol was prospectively registered with the International Prospective Register of Systematic Reviews (PROSPERO) (registration ID: </w:t>
      </w:r>
      <w:r w:rsidR="006A50D9" w:rsidRPr="006A50D9">
        <w:t>CRD420261513927</w:t>
      </w:r>
      <w:r w:rsidR="00080503">
        <w:t xml:space="preserve">). The synthesis PICOs and critical outcomes were consolidated during revision and are reported in Table S4, Panel A; protocol deviations and review-stage amendments are </w:t>
      </w:r>
      <w:r>
        <w:t>summarised</w:t>
      </w:r>
      <w:r w:rsidR="00080503">
        <w:t xml:space="preserve"> in Table S4, Panel B.</w:t>
      </w:r>
    </w:p>
    <w:p w14:paraId="010E8E86" w14:textId="77777777" w:rsidR="00080503" w:rsidRDefault="00080503" w:rsidP="00080503">
      <w:pPr>
        <w:pStyle w:val="MDPI31text"/>
      </w:pPr>
      <w:r>
        <w:t xml:space="preserve">The review </w:t>
      </w:r>
      <w:r w:rsidR="00C74661">
        <w:t>analysed</w:t>
      </w:r>
      <w:r>
        <w:t xml:space="preserve"> published aggregate </w:t>
      </w:r>
      <w:proofErr w:type="gramStart"/>
      <w:r>
        <w:t>data and</w:t>
      </w:r>
      <w:proofErr w:type="gramEnd"/>
      <w:r>
        <w:t xml:space="preserve"> did not involve the recruitment of human participants or access to identifiable individual-level information. Institutional ethics approval and informed consent were therefore not required. Patients, learners, caregivers, and members of the public were not involved in the design or conduct of the review.</w:t>
      </w:r>
    </w:p>
    <w:p w14:paraId="267E5BFC" w14:textId="77777777" w:rsidR="00080503" w:rsidRDefault="00080503" w:rsidP="00080503">
      <w:pPr>
        <w:pStyle w:val="MDPI22heading2"/>
      </w:pPr>
      <w:r>
        <w:t>2.2. Eligibility Criteria</w:t>
      </w:r>
    </w:p>
    <w:p w14:paraId="589B99F4" w14:textId="77777777" w:rsidR="00080503" w:rsidRDefault="00080503" w:rsidP="00080503">
      <w:pPr>
        <w:pStyle w:val="MDPI31text"/>
      </w:pPr>
      <w:r>
        <w:t>Eligibility criteria were specified before full-text assessment. The unit of inclusion was an eligible report, whereas the unit of synthesis was the independent study series. Reports describing the same or overlapping participant cohort were linked and treated as one study series for interpretation.</w:t>
      </w:r>
    </w:p>
    <w:p w14:paraId="646E0EF3" w14:textId="77777777" w:rsidR="00080503" w:rsidRDefault="00080503" w:rsidP="00080503">
      <w:pPr>
        <w:pStyle w:val="MDPI23heading3"/>
      </w:pPr>
      <w:r>
        <w:rPr>
          <w:i/>
        </w:rPr>
        <w:t>2.2.1. Inclusion Criteria</w:t>
      </w:r>
    </w:p>
    <w:p w14:paraId="6D40789C" w14:textId="77777777" w:rsidR="00080503" w:rsidRDefault="00080503" w:rsidP="00080503">
      <w:pPr>
        <w:pStyle w:val="MDPI38bullet"/>
        <w:tabs>
          <w:tab w:val="num" w:pos="0"/>
        </w:tabs>
        <w:suppressAutoHyphens/>
        <w:adjustRightInd/>
      </w:pPr>
      <w:r>
        <w:t xml:space="preserve">Population. Children or adolescents in primary or secondary education with visual impairment or blindness, deafness or hearing loss, dyslexia, </w:t>
      </w:r>
      <w:proofErr w:type="gramStart"/>
      <w:r>
        <w:t>a reading</w:t>
      </w:r>
      <w:proofErr w:type="gramEnd"/>
      <w:r>
        <w:t>, writing, or specific learning disability, intellectual disability, attention-deficit/hyperactivity disorder, or another explicitly identified disability affecting access to classroom language or print. The age rule was applied as follows: samples were eligible when the reported mean or median age fell between 5 and 18 years and no participant was older than 19 years at study entry; individual participants younger than 5 years were eligible only when enrolled in a formal school programme and reported within an otherwise eligible school-age sample, which applied to one 4-year-11-month Braille learner (Table 1). Disability was accepted when the report stated a formal diagnosis, an individualised education programme or equivalent designation, or identification by a standardised assessment against a stated cut-off; samples described only as ‘struggling’ or ‘at risk’ without such evidence were not eligible. Mixed-age or mixed-diagnosis samples were eligible only when data for eligible learners were reported separately or could be extracted without inference.</w:t>
      </w:r>
    </w:p>
    <w:p w14:paraId="5D5FEDEF" w14:textId="77777777" w:rsidR="00080503" w:rsidRDefault="00080503" w:rsidP="00080503">
      <w:pPr>
        <w:pStyle w:val="MDPI38bullet"/>
        <w:tabs>
          <w:tab w:val="num" w:pos="0"/>
        </w:tabs>
        <w:suppressAutoHyphens/>
        <w:adjustRightInd/>
      </w:pPr>
      <w:r>
        <w:rPr>
          <w:b/>
        </w:rPr>
        <w:t>Intervention.</w:t>
      </w:r>
      <w:r>
        <w:t xml:space="preserve"> Automatic STT used for writing or dictation; automatic speech recognition used to generate real-time captions; TTS used as </w:t>
      </w:r>
      <w:proofErr w:type="gramStart"/>
      <w:r>
        <w:t>an educational</w:t>
      </w:r>
      <w:proofErr w:type="gramEnd"/>
      <w:r>
        <w:t xml:space="preserve"> access or learning support; AI-assisted Braille tutoring or instruction; or OBR used directly with learners. A multicomponent intervention was eligible when </w:t>
      </w:r>
      <w:proofErr w:type="gramStart"/>
      <w:r>
        <w:t>an eligible</w:t>
      </w:r>
      <w:proofErr w:type="gramEnd"/>
      <w:r>
        <w:t xml:space="preserve"> technology was a central component</w:t>
      </w:r>
      <w:r w:rsidR="00C74661">
        <w:t>,</w:t>
      </w:r>
      <w:r>
        <w:t xml:space="preserve"> and the design permitted the combined technology-supported condition to be compared with </w:t>
      </w:r>
      <w:proofErr w:type="gramStart"/>
      <w:r>
        <w:t>an eligible</w:t>
      </w:r>
      <w:proofErr w:type="gramEnd"/>
      <w:r>
        <w:t xml:space="preserve"> control or baseline. Engineering prototypes evaluated only on technical performance were not </w:t>
      </w:r>
      <w:proofErr w:type="gramStart"/>
      <w:r>
        <w:t>eligible, and</w:t>
      </w:r>
      <w:proofErr w:type="gramEnd"/>
      <w:r>
        <w:t xml:space="preserve"> read-aloud systems delivering pre-recorded human speech rather than automatic speech technology were not eligible.</w:t>
      </w:r>
    </w:p>
    <w:p w14:paraId="4437CE01" w14:textId="77777777" w:rsidR="00080503" w:rsidRDefault="00080503" w:rsidP="00080503">
      <w:pPr>
        <w:pStyle w:val="MDPI38bullet"/>
        <w:tabs>
          <w:tab w:val="num" w:pos="0"/>
        </w:tabs>
        <w:suppressAutoHyphens/>
        <w:adjustRightInd/>
      </w:pPr>
      <w:r>
        <w:rPr>
          <w:b/>
        </w:rPr>
        <w:t>Comparator.</w:t>
      </w:r>
      <w:r>
        <w:t xml:space="preserve"> No technology, usual instruction, </w:t>
      </w:r>
      <w:proofErr w:type="gramStart"/>
      <w:r>
        <w:t>an alternative</w:t>
      </w:r>
      <w:proofErr w:type="gramEnd"/>
      <w:r>
        <w:t xml:space="preserve"> accommodation or assistive technology, or a prospectively measured within-participant baseline or comparison phase. Single-case studies were required to include repeated measurement across experimental phases.</w:t>
      </w:r>
    </w:p>
    <w:p w14:paraId="2BE6D096" w14:textId="77777777" w:rsidR="00080503" w:rsidRDefault="00080503" w:rsidP="00080503">
      <w:pPr>
        <w:pStyle w:val="MDPI38bullet"/>
        <w:tabs>
          <w:tab w:val="num" w:pos="0"/>
        </w:tabs>
        <w:suppressAutoHyphens/>
        <w:adjustRightInd/>
      </w:pPr>
      <w:r>
        <w:rPr>
          <w:b/>
        </w:rPr>
        <w:t>Outcomes.</w:t>
      </w:r>
      <w:r>
        <w:t xml:space="preserve"> At least one learner-level educational or accessibility outcome. Eligible outcomes included reading or listening comprehension; reading accuracy or rate; </w:t>
      </w:r>
      <w:r>
        <w:lastRenderedPageBreak/>
        <w:t xml:space="preserve">writing productivity, quality, accuracy, or spelling; mathematics or other curriculum attainment; Braille-symbol, word, or contraction mastery; content learning; participation; independence; engagement; and task-completion time or burden. Technical measures, including </w:t>
      </w:r>
      <w:proofErr w:type="gramStart"/>
      <w:r>
        <w:t>recognition</w:t>
      </w:r>
      <w:proofErr w:type="gramEnd"/>
      <w:r>
        <w:t xml:space="preserve"> accuracy, latency, and usability, were retained only when reported alongside an eligible learner-level outcome.</w:t>
      </w:r>
    </w:p>
    <w:p w14:paraId="50DCC443" w14:textId="77777777" w:rsidR="00080503" w:rsidRDefault="00080503" w:rsidP="00080503">
      <w:pPr>
        <w:pStyle w:val="MDPI38bullet"/>
        <w:tabs>
          <w:tab w:val="num" w:pos="0"/>
        </w:tabs>
        <w:suppressAutoHyphens/>
        <w:adjustRightInd/>
      </w:pPr>
      <w:r>
        <w:rPr>
          <w:b/>
        </w:rPr>
        <w:t>Study design.</w:t>
      </w:r>
      <w:r>
        <w:t xml:space="preserve"> </w:t>
      </w:r>
      <w:r w:rsidR="00C74661">
        <w:t>Randomised controlled trial; non-randomised</w:t>
      </w:r>
      <w:r>
        <w:t xml:space="preserve"> comparative or quasi-experimental study; counterbalanced within-participant comparison; or single-case experimental design with prospectively repeated measurement and an experimental phase structure.</w:t>
      </w:r>
    </w:p>
    <w:p w14:paraId="406219E7" w14:textId="77777777" w:rsidR="00080503" w:rsidRDefault="00080503" w:rsidP="00080503">
      <w:pPr>
        <w:pStyle w:val="MDPI38bullet"/>
        <w:tabs>
          <w:tab w:val="num" w:pos="0"/>
        </w:tabs>
        <w:suppressAutoHyphens/>
        <w:adjustRightInd/>
      </w:pPr>
      <w:r>
        <w:rPr>
          <w:b/>
        </w:rPr>
        <w:t>Report characteristics.</w:t>
      </w:r>
      <w:r>
        <w:t xml:space="preserve"> Full-length, peer-reviewed articles published in English from database inception to 23 July 2026. No publication-year restriction was applied. The English-language and peer-review restrictions were pragmatic rather than scientific: no translation resource was available, and full-text conference and thesis reports could not be retrieved consistently across the technology functions covered. Both restrictions are carried into the publication-bias judgments in Table 2 and are stated as limitations in Section 4.6. Open-access status was treated as retrieval metadata and not as an eligibility or quality criterion.</w:t>
      </w:r>
    </w:p>
    <w:p w14:paraId="0E888B69" w14:textId="77777777" w:rsidR="00080503" w:rsidRDefault="00080503" w:rsidP="00080503">
      <w:pPr>
        <w:pStyle w:val="MDPI23heading3"/>
      </w:pPr>
      <w:r>
        <w:rPr>
          <w:i/>
        </w:rPr>
        <w:t>2.2.2. Exclusion Criteria</w:t>
      </w:r>
    </w:p>
    <w:p w14:paraId="2759027A" w14:textId="77777777" w:rsidR="00080503" w:rsidRDefault="00080503" w:rsidP="00080503">
      <w:pPr>
        <w:pStyle w:val="MDPI38bullet"/>
        <w:tabs>
          <w:tab w:val="num" w:pos="0"/>
        </w:tabs>
        <w:suppressAutoHyphens/>
        <w:adjustRightInd/>
      </w:pPr>
      <w:r>
        <w:rPr>
          <w:b/>
        </w:rPr>
        <w:t>Technical-only evidence.</w:t>
      </w:r>
      <w:r>
        <w:t xml:space="preserve"> Studies restricted to algorithmic recognition accuracy, word- or character-error rate, latency, image quality, interface performance, or laboratory usability without an eligible learner-level educational or accessibility outcome.</w:t>
      </w:r>
    </w:p>
    <w:p w14:paraId="1CC0D92A" w14:textId="77777777" w:rsidR="00080503" w:rsidRDefault="00080503" w:rsidP="00080503">
      <w:pPr>
        <w:pStyle w:val="MDPI38bullet"/>
        <w:tabs>
          <w:tab w:val="num" w:pos="0"/>
        </w:tabs>
        <w:suppressAutoHyphens/>
        <w:adjustRightInd/>
      </w:pPr>
      <w:r>
        <w:rPr>
          <w:b/>
        </w:rPr>
        <w:t>Ineligible publication or design.</w:t>
      </w:r>
      <w:r>
        <w:t xml:space="preserve"> Reviews, protocols, editorials, commentaries, theses, </w:t>
      </w:r>
      <w:r w:rsidR="00C74661">
        <w:t>and conference abstracts without complete study data; qualitative-only studies; surveys; uncontrolled usability evaluations;</w:t>
      </w:r>
      <w:r>
        <w:t xml:space="preserve"> and uncontrolled pre–post reports without a credible comparison group or experimental phase structure.</w:t>
      </w:r>
    </w:p>
    <w:p w14:paraId="2D57E7BE" w14:textId="77777777" w:rsidR="00080503" w:rsidRDefault="00080503" w:rsidP="00080503">
      <w:pPr>
        <w:pStyle w:val="MDPI38bullet"/>
        <w:tabs>
          <w:tab w:val="num" w:pos="0"/>
        </w:tabs>
        <w:suppressAutoHyphens/>
        <w:adjustRightInd/>
      </w:pPr>
      <w:r>
        <w:rPr>
          <w:b/>
        </w:rPr>
        <w:t>Ineligible population or setting.</w:t>
      </w:r>
      <w:r>
        <w:t xml:space="preserve"> Adult-only or </w:t>
      </w:r>
      <w:proofErr w:type="gramStart"/>
      <w:r>
        <w:t>postsecondary</w:t>
      </w:r>
      <w:proofErr w:type="gramEnd"/>
      <w:r>
        <w:t>-only samples, and general-education samples without separately reported results for school-age learners with disabilities.</w:t>
      </w:r>
    </w:p>
    <w:p w14:paraId="20622271" w14:textId="77777777" w:rsidR="00080503" w:rsidRDefault="00080503" w:rsidP="00080503">
      <w:pPr>
        <w:pStyle w:val="MDPI38bullet"/>
        <w:tabs>
          <w:tab w:val="num" w:pos="0"/>
        </w:tabs>
        <w:suppressAutoHyphens/>
        <w:adjustRightInd/>
      </w:pPr>
      <w:proofErr w:type="spellStart"/>
      <w:r w:rsidRPr="006C6B88">
        <w:rPr>
          <w:b/>
          <w:lang w:val="fr-FR"/>
        </w:rPr>
        <w:t>Ineligible</w:t>
      </w:r>
      <w:proofErr w:type="spellEnd"/>
      <w:r w:rsidRPr="006C6B88">
        <w:rPr>
          <w:b/>
          <w:lang w:val="fr-FR"/>
        </w:rPr>
        <w:t xml:space="preserve"> intervention or </w:t>
      </w:r>
      <w:proofErr w:type="spellStart"/>
      <w:r w:rsidRPr="006C6B88">
        <w:rPr>
          <w:b/>
          <w:lang w:val="fr-FR"/>
        </w:rPr>
        <w:t>insufficient</w:t>
      </w:r>
      <w:proofErr w:type="spellEnd"/>
      <w:r w:rsidRPr="006C6B88">
        <w:rPr>
          <w:b/>
          <w:lang w:val="fr-FR"/>
        </w:rPr>
        <w:t xml:space="preserve"> information.</w:t>
      </w:r>
      <w:r w:rsidRPr="006C6B88">
        <w:rPr>
          <w:lang w:val="fr-FR"/>
        </w:rPr>
        <w:t xml:space="preserve"> </w:t>
      </w:r>
      <w:r>
        <w:t>Non-automatic speech technologies, including human-generated captioning services (C-Print and Communication Access Realtime Translation) and read-aloud systems based on pre-recorded human speech, when the evaluated function was not automatic speech technology; and reports in which the population, intervention, comparator or phase structure, or eligible outcome could not be established after full-text assessment.</w:t>
      </w:r>
    </w:p>
    <w:p w14:paraId="6FD0084A" w14:textId="77777777" w:rsidR="00080503" w:rsidRDefault="00080503" w:rsidP="00080503">
      <w:pPr>
        <w:pStyle w:val="MDPI22heading2"/>
      </w:pPr>
      <w:r>
        <w:t>2.3. Information Sources and Search Strategy</w:t>
      </w:r>
    </w:p>
    <w:p w14:paraId="1ADAE46A" w14:textId="77777777" w:rsidR="00080503" w:rsidRDefault="00080503" w:rsidP="00080503">
      <w:pPr>
        <w:pStyle w:val="MDPI31text"/>
      </w:pPr>
      <w:r>
        <w:t>Four bibliographic databases were searched: PubMed, Web of Science, and Scopus on 22 July 2026, and PsycINFO on 23 July 2026. Google Scholar was searched as a supplementary web source on 23 July 2026. Each database was searched from inception to the closing date, and no publication-year limit was applied. The strategies combined terms for the school-age population and disability, speech or Braille technology, and comparative or experimental study design. Complete database-specific strategies and retrieval yields are presented in Table S1. The host platform used for the PsycINFO search was not recorded, ERIC was not searched, and the strategies were not externally peer-reviewed against the PRESS checklist; the design-filter concept may also have reduced sensitivity where study designs were inconsistently indexed. These limitations informed the publication-bias judgments in Table 2 and are discussed in Section 4.6.</w:t>
      </w:r>
    </w:p>
    <w:p w14:paraId="5A796EC7" w14:textId="77777777" w:rsidR="00080503" w:rsidRDefault="00080503" w:rsidP="00080503">
      <w:pPr>
        <w:pStyle w:val="MDPI31text"/>
      </w:pPr>
      <w:r>
        <w:t xml:space="preserve">Supplementary searching comprised Google Scholar, backward reference checking of included reports and relevant reviews, forward citation searching of included reports in Google Scholar and Scopus, and targeted searching of publisher platforms. The Google </w:t>
      </w:r>
      <w:r>
        <w:lastRenderedPageBreak/>
        <w:t xml:space="preserve">Scholar search was run on 23 July 2026 from a signed-out browser session with </w:t>
      </w:r>
      <w:proofErr w:type="spellStart"/>
      <w:r w:rsidR="00C74661">
        <w:t>personalisation</w:t>
      </w:r>
      <w:proofErr w:type="spellEnd"/>
      <w:r>
        <w:t xml:space="preserve"> and library links disabled, sorted by relevance, and the first 200 ranked results were screened. Because Google Scholar rankings are dynamic, this supplementary search is not exactly reproducible; it is reported as a supplementary web search rather than a bibliographic database, and records retrieved by supplementary methods are counted separately in Figure 1. No geographical or setting restriction was applied.</w:t>
      </w:r>
    </w:p>
    <w:p w14:paraId="7F9BB1F0" w14:textId="77777777" w:rsidR="00080503" w:rsidRDefault="00080503" w:rsidP="00080503">
      <w:pPr>
        <w:pStyle w:val="MDPI22heading2"/>
      </w:pPr>
      <w:r>
        <w:t>2.4. Record Management and Study Selection</w:t>
      </w:r>
    </w:p>
    <w:p w14:paraId="130648BD" w14:textId="77777777" w:rsidR="00080503" w:rsidRDefault="00080503" w:rsidP="00080503">
      <w:pPr>
        <w:pStyle w:val="MDPI31text"/>
      </w:pPr>
      <w:r>
        <w:t xml:space="preserve">Records from every source, including those retrieved by supplementary methods, were consolidated in a single reference library and de-duplicated across sources, after which residual duplicates were removed manually. Titles and abstracts were screened against the eligibility criteria, followed by full-text assessment of potentially eligible reports. A single principal reason for exclusion was assigned using a fixed hierarchy: ineligible publication type or design; technical or system-performance outcome only; ineligible population or setting; ineligible intervention; no eligible comparator or experimental phase structure; or insufficient information. No machine-learning </w:t>
      </w:r>
      <w:proofErr w:type="spellStart"/>
      <w:r w:rsidR="00C74661">
        <w:t>prioritisation</w:t>
      </w:r>
      <w:proofErr w:type="spellEnd"/>
      <w:r>
        <w:t xml:space="preserve"> or automated exclusion tool was used.</w:t>
      </w:r>
    </w:p>
    <w:p w14:paraId="73213A92" w14:textId="77777777" w:rsidR="00080503" w:rsidRDefault="00080503" w:rsidP="00080503">
      <w:pPr>
        <w:pStyle w:val="MDPI31text"/>
      </w:pPr>
      <w:r>
        <w:t>Two reports identified during revision-stage supplementary searching required extended full-text adjudication before resubmission: one satisfied every eligibility criterion and was included (Table S4, Panel D), and one was excluded because the evaluated read-aloud system and its comparator both delivered pre-recorded human-voice audio rather than automatic text-to-speech. Figure 1 presents the aggregate flow and exclusion reasons. Table S4, Panel D documents selected boundary decisions and reports adjudicated during revision; it is not a report-level list of all 101 full-text exclusions.</w:t>
      </w:r>
    </w:p>
    <w:p w14:paraId="5CD0F0EB" w14:textId="77777777" w:rsidR="00080503" w:rsidRDefault="00080503" w:rsidP="00080503">
      <w:pPr>
        <w:pStyle w:val="MDPI31text"/>
      </w:pPr>
      <w:r>
        <w:t>The review distinguished records, reports, and independent study series. Potentially linked reports were compared by authorship, recruitment site and period, participant characteristics, sample size, intervention details, and outcome reporting. Reports describing overlapping cohorts were retained as separate reports when they contributed distinct comparisons or outcomes but were treated as one series for interpretation. The linkage decisions and unresolved overlap are summarised in Table S4, Panel C. Author-contact confirmation was not available to resolve the possible overlap among four Swedish cohorts or the possible relation between the two Meyer and Bouck reports; the corresponding participant totals are therefore reported as upper bounds.</w:t>
      </w:r>
    </w:p>
    <w:p w14:paraId="71C0AB5A" w14:textId="6DCABD5B" w:rsidR="009C1B2D" w:rsidRDefault="009C1B2D" w:rsidP="00080503">
      <w:pPr>
        <w:pStyle w:val="MDPI31text"/>
      </w:pPr>
      <w:r w:rsidRPr="009C1B2D">
        <w:t>Figure 1. PRISMA 2020 flow diagram for identification, screening, and inclusion. Twenty-seven re-ports represented up to 26 study series. De-duplication was performed across source branches before screening, and aggregate full-text exclusion reasons are shown separately for the database and supplementary branches. Two reports describing overlapping cohorts were counted as one study series; additional cohort overlap could not be excluded (Table S4, Panel C). Table S4, Panel D documents selected boundary decisions, not every excluded full text.</w:t>
      </w:r>
    </w:p>
    <w:p w14:paraId="56B74734" w14:textId="24E1A598" w:rsidR="004D1808" w:rsidRDefault="005F5CCC">
      <w:pPr>
        <w:pStyle w:val="MDPI52figure"/>
        <w:keepNext/>
        <w:keepLines/>
      </w:pPr>
      <w:r>
        <w:rPr>
          <w:noProof/>
        </w:rPr>
        <w:lastRenderedPageBreak/>
        <w:drawing>
          <wp:inline distT="0" distB="0" distL="0" distR="0" wp14:anchorId="411D1B0A" wp14:editId="7540215A">
            <wp:extent cx="6477000" cy="5029200"/>
            <wp:effectExtent l="0" t="0" r="0" b="0"/>
            <wp:docPr id="191526128" name="Picture 1" descr="The image illustrates a multi-step process for identifying and screening research studies, detailing the number of records identified, removed, or excluded from various databases and search metho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6128" name="Picture 1" descr="The image illustrates a multi-step process for identifying and screening research studies, detailing the number of records identified, removed, or excluded from various databases and search method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5029200"/>
                    </a:xfrm>
                    <a:prstGeom prst="rect">
                      <a:avLst/>
                    </a:prstGeom>
                    <a:noFill/>
                    <a:ln>
                      <a:noFill/>
                    </a:ln>
                  </pic:spPr>
                </pic:pic>
              </a:graphicData>
            </a:graphic>
          </wp:inline>
        </w:drawing>
      </w:r>
    </w:p>
    <w:p w14:paraId="50337BF1" w14:textId="27A18A75" w:rsidR="00080503" w:rsidRPr="009C1B2D" w:rsidRDefault="001F1BDF" w:rsidP="009C1B2D">
      <w:pPr>
        <w:pStyle w:val="MDPI51figurecaption"/>
        <w:keepLines/>
        <w:jc w:val="center"/>
        <w:rPr>
          <w:sz w:val="20"/>
          <w:szCs w:val="22"/>
        </w:rPr>
      </w:pPr>
      <w:r w:rsidRPr="009C1B2D">
        <w:rPr>
          <w:b/>
          <w:bCs/>
          <w:i/>
          <w:iCs/>
          <w:sz w:val="20"/>
          <w:szCs w:val="22"/>
        </w:rPr>
        <w:t>Figure 1.</w:t>
      </w:r>
      <w:r w:rsidRPr="009C1B2D">
        <w:rPr>
          <w:i/>
          <w:iCs/>
          <w:sz w:val="20"/>
          <w:szCs w:val="22"/>
        </w:rPr>
        <w:t xml:space="preserve"> PRISMA 2020 flow diagram</w:t>
      </w:r>
    </w:p>
    <w:p w14:paraId="6226B586" w14:textId="77777777" w:rsidR="00080503" w:rsidRDefault="00080503" w:rsidP="00080503">
      <w:pPr>
        <w:pStyle w:val="MDPI22heading2"/>
      </w:pPr>
      <w:r>
        <w:t>2.5. Data Extraction and Management of Linked Reports</w:t>
      </w:r>
    </w:p>
    <w:p w14:paraId="020EC1E1" w14:textId="77777777" w:rsidR="00080503" w:rsidRDefault="00080503" w:rsidP="00080503">
      <w:pPr>
        <w:pStyle w:val="MDPI31text"/>
      </w:pPr>
      <w:r>
        <w:t>A structured extraction matrix was completed at report level from full texts where available. Extracted fields included citation, country, design, setting, sample size, age or grade, disability classification, technology function, intervention content and dose, comparator or phase structure, outcome domain and instrument, time point, follow-up, numerical results, variability, effect estimates and confidence intervals, statistical tests and p values, attrition, implementation information, source location, and appraisal data. For two reports, the full texts could not be retrieved, so findings were limited to the ERIC record abstract and publisher abstract (Table S3). Phase-level data were not extractable, WWC design-standard ratings were not assigned, and these reports were excluded from the lower-risk sensitivity synthesis.</w:t>
      </w:r>
    </w:p>
    <w:p w14:paraId="0B30934F" w14:textId="77777777" w:rsidR="00080503" w:rsidRDefault="00080503" w:rsidP="00080503">
      <w:pPr>
        <w:pStyle w:val="MDPI31text"/>
      </w:pPr>
      <w:r>
        <w:t xml:space="preserve">All eligible outcomes reported by each study were extracted. Post-intervention and follow-up findings were kept distinct, and outcomes from non-equivalent constructs were not combined. Missing standard deviations were not imputed, graphs were not digitised, and effect sizes were not reconstructed from incomplete statistics. Missing, ambiguous, or internally inconsistent values affected five reports (Table 1 and Supplementary Table S2); their consequences are stated at the point of use. These discrepancies could not be resolved from published sources and were handled conservatively. Bibliographic metadata and study characteristics were checked against publisher or authoritative index records. For RoB 2 and ROBINS-I, one target result per report was selected using a stated hierarchy </w:t>
      </w:r>
      <w:r>
        <w:lastRenderedPageBreak/>
        <w:t>based on the designated or objective-linked outcome, measure validity, and first eligible post-intervention assessment.</w:t>
      </w:r>
    </w:p>
    <w:p w14:paraId="618FE483" w14:textId="77777777" w:rsidR="00080503" w:rsidRDefault="00080503" w:rsidP="00080503">
      <w:pPr>
        <w:pStyle w:val="MDPI31text"/>
      </w:pPr>
      <w:r>
        <w:t xml:space="preserve">The report </w:t>
      </w:r>
      <w:proofErr w:type="gramStart"/>
      <w:r>
        <w:t>was</w:t>
      </w:r>
      <w:proofErr w:type="gramEnd"/>
      <w:r>
        <w:t xml:space="preserve"> the extraction </w:t>
      </w:r>
      <w:proofErr w:type="gramStart"/>
      <w:r>
        <w:t>unit</w:t>
      </w:r>
      <w:proofErr w:type="gramEnd"/>
      <w:r>
        <w:t xml:space="preserve"> and the study series </w:t>
      </w:r>
      <w:proofErr w:type="gramStart"/>
      <w:r>
        <w:t>was</w:t>
      </w:r>
      <w:proofErr w:type="gramEnd"/>
      <w:r>
        <w:t xml:space="preserve"> the synthesis unit. Linked reports remained separate in the characteristics table when they contributed distinct comparisons or outcomes. A participant total was calculated after removing the confirmed overlapping pair (Table S4, Panel C). Because possible overlap among four Swedish cohorts was not resolved, the reported total of 670 enrolled participants may overestimate the number of unique individuals and should be interpreted as an upper bound.</w:t>
      </w:r>
    </w:p>
    <w:p w14:paraId="683E69DE" w14:textId="77777777" w:rsidR="00080503" w:rsidRDefault="00080503" w:rsidP="00080503">
      <w:pPr>
        <w:pStyle w:val="MDPI22heading2"/>
      </w:pPr>
      <w:r>
        <w:t>2.6. Outcome Classification and Effect Information</w:t>
      </w:r>
    </w:p>
    <w:p w14:paraId="3D7056F8" w14:textId="77777777" w:rsidR="00080503" w:rsidRDefault="00080503" w:rsidP="00080503">
      <w:pPr>
        <w:pStyle w:val="MDPI31text"/>
      </w:pPr>
      <w:r>
        <w:t xml:space="preserve">For synthesis, outcomes were </w:t>
      </w:r>
      <w:r w:rsidR="006708D4">
        <w:t>organised</w:t>
      </w:r>
      <w:r>
        <w:t xml:space="preserve"> into five functional domains: (1) reading and listening comprehension, accuracy, or rate; (2) writing productivity, quality, accuracy, and spelling; (3) curriculum attainment, including mathematics and content learning; (4) Braille acquisition and mastery; and (5) participation, independence, engagement, and task burden. Process measures, such as eye movements, recognition accuracy, or technology-use metrics, were treated as explanatory outcomes unless they directly represented an eligible learner function.</w:t>
      </w:r>
    </w:p>
    <w:p w14:paraId="19C54276" w14:textId="77777777" w:rsidR="00080503" w:rsidRDefault="00080503" w:rsidP="00080503">
      <w:pPr>
        <w:pStyle w:val="MDPI31text"/>
      </w:pPr>
      <w:r>
        <w:t xml:space="preserve">An effect measure was prespecified for each outcome type. For continuous outcomes compared between independent groups, the mean difference was used when instruments were identical and the </w:t>
      </w:r>
      <w:r w:rsidR="006708D4">
        <w:t>standardised</w:t>
      </w:r>
      <w:r>
        <w:t xml:space="preserve"> mean difference otherwise; for continuous outcomes compared within participants, the paired mean difference was used; for binary outcomes, the risk ratio was used; and for single-case data, the review used the non-overlap index reported by the source authors, recording which index was used in each case. Estimates were accompanied by a 95% confidence interval whenever the source reported one or provided sufficient data for its calculation; no estimate was recalculated from incomplete test statistics, and the reason that calculation was not possible is stated for each affected report in Table S2. For single-case experimental studies, extracted information included design and phase sequence, number of observations, level, trend, variability, overlap, immediacy, consistency across replications, maintenance or </w:t>
      </w:r>
      <w:r w:rsidR="006708D4">
        <w:t>generalisation</w:t>
      </w:r>
      <w:r>
        <w:t>, and any visual-analysis or non-overlap statistic reported by the authors. Statistical significance was not interpreted as equivalent to educational or clinical importance.</w:t>
      </w:r>
    </w:p>
    <w:p w14:paraId="3F935E97" w14:textId="77777777" w:rsidR="00080503" w:rsidRDefault="00080503" w:rsidP="00080503">
      <w:pPr>
        <w:pStyle w:val="MDPI22heading2"/>
      </w:pPr>
      <w:r>
        <w:t>2.7. Methodological Appraisal</w:t>
      </w:r>
    </w:p>
    <w:p w14:paraId="13A0A9C4" w14:textId="77777777" w:rsidR="00080503" w:rsidRDefault="00080503" w:rsidP="00080503">
      <w:pPr>
        <w:pStyle w:val="MDPI31text"/>
      </w:pPr>
      <w:r>
        <w:t>Methodological appraisal was matched to study design and to the selected target result. The randomised parallel-group trial was assessed with RoB 2 (22 August 2019 version), the randomised two-period crossover experiment with the RoB 2 crossover variant, and non-randomised comparative or counterbalanced within-participant studies with ROBINS-I (20 October 2016 version) [19,20]. Target-trial assumptions and confounding domains are summarised in Table S3. Figure 2 presents design-stratified overall judgments, and Table S3 provides report-level rationales.</w:t>
      </w:r>
    </w:p>
    <w:p w14:paraId="159D6EB1" w14:textId="77777777" w:rsidR="00080503" w:rsidRDefault="00080503" w:rsidP="00080503">
      <w:pPr>
        <w:pStyle w:val="MDPI31text"/>
      </w:pPr>
      <w:r>
        <w:t xml:space="preserve">Single-case intervention designs were evaluated against the What Works Clearinghouse Procedures and Standards Handbook, Version 5.0 [21] when sufficient full-text information was available. Each eligible experiment and target outcome </w:t>
      </w:r>
      <w:proofErr w:type="gramStart"/>
      <w:r>
        <w:t>was</w:t>
      </w:r>
      <w:proofErr w:type="gramEnd"/>
      <w:r>
        <w:t xml:space="preserve"> examined for systematic manipulation of the independent variable, repeated outcome measurement, inter-assessor agreement where required, adequate phase observations, and at least three opportunities to demonstrate an effect. Ratings were recorded as Meets Standards Without Reservations, Meets Standards </w:t>
      </w:r>
      <w:proofErr w:type="gramStart"/>
      <w:r>
        <w:t>With</w:t>
      </w:r>
      <w:proofErr w:type="gramEnd"/>
      <w:r>
        <w:t xml:space="preserve"> Reservations, or Does Not Meet Standards. The WWC handbook provides design standards rather than a complete risk-of-bias instrument; accordingly, WWC ratings were used to judge internal validity arising from design and measurement structure only, and additional domains—selective outcome reporting, implementation fidelity, and unblinded outcome measurement—were appraised separately and recorded in Table S3. Two abstract-only reports were not rated because the </w:t>
      </w:r>
      <w:r>
        <w:lastRenderedPageBreak/>
        <w:t xml:space="preserve">available information was insufficient to apply WWC criteria. The </w:t>
      </w:r>
      <w:proofErr w:type="gramStart"/>
      <w:r>
        <w:t>design-standard</w:t>
      </w:r>
      <w:proofErr w:type="gramEnd"/>
      <w:r>
        <w:t xml:space="preserve"> and additional-domain judgments were carried into the GRADE risk-of-bias assessment.</w:t>
      </w:r>
    </w:p>
    <w:p w14:paraId="53AC2F67" w14:textId="77777777" w:rsidR="00080503" w:rsidRDefault="00080503" w:rsidP="00080503">
      <w:pPr>
        <w:pStyle w:val="MDPI31text"/>
      </w:pPr>
      <w:r>
        <w:t>RoB 2 and ROBINS-I judgments were made at the level of the selected result and were not converted into numeric quality scores. Before applying ROBINS-I, the conceptual target trial specified the eligible learner population, assignment to the technology-supported or comparator condition, the first eligible post-intervention or condition-comparison time point, and the target outcome. Prespecified confounding domains included age or grade, baseline literacy or writing skill, disability severity, language and attention profile, prior technology experience, and differential instructional support; relevant co-interventions included explicit instruction, teacher modelling, practice time, and TTS revision. Tool-specific categories were retained, insufficient reporting was not interpreted favourably, and concise rationales are reported in Table S3. Appraisals were undertaken by one reviewer (A.K.D.) and were not independently duplicated.</w:t>
      </w:r>
    </w:p>
    <w:p w14:paraId="0FA3579D" w14:textId="77777777" w:rsidR="00080503" w:rsidRDefault="00080503" w:rsidP="00080503">
      <w:pPr>
        <w:pStyle w:val="MDPI22heading2"/>
      </w:pPr>
      <w:r>
        <w:t>2.8. Synthesis Methods</w:t>
      </w:r>
    </w:p>
    <w:p w14:paraId="0864E9AC" w14:textId="77777777" w:rsidR="00080503" w:rsidRDefault="00080503" w:rsidP="00080503">
      <w:pPr>
        <w:pStyle w:val="MDPI31text"/>
      </w:pPr>
      <w:r>
        <w:t>Studies were grouped first by technology function—STT for writing or dictation; TTS or mixed speech technologies for reading and curriculum access; automatic classroom captioning; artificial-intelligence-assisted Braille learning; and OBR—and then by outcome domain, producing the nine synthesis groups defined in Table S4, Panel A. Technology functions for which no eligible learner-level evaluation was located were retained as explicit reporting categories and were described as gaps in the located evidence rather than as demonstrated absences of effect. Within each group, structured tables and narrative synthesis compared population, design, intervention dose, comparator, outcome measurement, effect direction and magnitude, precision, follow-up, implementation features, and methodological limitations.</w:t>
      </w:r>
    </w:p>
    <w:p w14:paraId="2265117A" w14:textId="77777777" w:rsidR="00080503" w:rsidRDefault="00080503" w:rsidP="00080503">
      <w:pPr>
        <w:pStyle w:val="MDPI31text"/>
      </w:pPr>
      <w:r>
        <w:t xml:space="preserve">The synthesis followed </w:t>
      </w:r>
      <w:proofErr w:type="spellStart"/>
      <w:r>
        <w:t>SWiM</w:t>
      </w:r>
      <w:proofErr w:type="spellEnd"/>
      <w:r>
        <w:t xml:space="preserve"> principles [18]. Conclusions were based on the credibility, magnitude, precision, consistency, and applicability of the available contrasts rather than on simple vote counting by statistical significance or direction of effect. Study-level findings were tabulated and described using reported estimates and exact p values where available. Interpretation gave greatest weight to direct learner-level comparisons with lower risk of bias and adequate experimental control.</w:t>
      </w:r>
    </w:p>
    <w:p w14:paraId="1A5C2C52" w14:textId="77777777" w:rsidR="00080503" w:rsidRDefault="00080503" w:rsidP="00080503">
      <w:pPr>
        <w:pStyle w:val="MDPI31text"/>
      </w:pPr>
      <w:r>
        <w:t>Meta-analysis across technology functions was not undertaken because technology functions, disability groups, educational tasks, comparators, outcome instruments, follow-up periods, and designs differed materially. Feasibility was re-examined within each synthesis group (Table S4, Panel A). In the largest group, TTS for reading or listening comprehension, comparators, exposure, and instruments remained heterogeneous and only two reports supplied an effect estimate with a confidence interval; pooling was therefore judged inappropriate. Single-case results were not pooled with group estimates. Planned subgroup analysis, meta-regression, funnel plots, and formal small-study tests were not feasible. A post hoc sensitivity synthesis retained RoB 2 reports judged low risk or with some concerns, ROBINS-I reports at low or moderate risk, and single-case reports meeting WWC standards with or without reservations. Abstract-only reports without an assignable rating were excluded. Results are reported in Section 3.5.</w:t>
      </w:r>
    </w:p>
    <w:p w14:paraId="5D1D05B4" w14:textId="77777777" w:rsidR="00080503" w:rsidRDefault="00080503" w:rsidP="00080503">
      <w:pPr>
        <w:pStyle w:val="MDPI22heading2"/>
      </w:pPr>
      <w:r>
        <w:t>2.9. Certainty of the Evidence</w:t>
      </w:r>
    </w:p>
    <w:p w14:paraId="3D70A1E8" w14:textId="77777777" w:rsidR="00080503" w:rsidRDefault="00080503" w:rsidP="00080503">
      <w:pPr>
        <w:pStyle w:val="MDPI31text"/>
      </w:pPr>
      <w:r>
        <w:t>Certainty was assessed for each technology–outcome evidence body using the GRADE domains of risk of bias, inconsistency, indirectness, imprecision, and publication bias [22]. Randomised evidence began at high certainty, whereas non-randomised and single-case evidence began at low certainty. When randomised and non-randomised evidence informed the same PICO, the randomised evidence set the starting level and the other designs informed domain judgments without raising certainty. Every downgrade and its rationale is shown in Table 2; no upgrading was applied.</w:t>
      </w:r>
    </w:p>
    <w:p w14:paraId="2500211E" w14:textId="77777777" w:rsidR="00080503" w:rsidRDefault="00080503" w:rsidP="00080503">
      <w:pPr>
        <w:pStyle w:val="MDPI31text"/>
      </w:pPr>
      <w:r>
        <w:lastRenderedPageBreak/>
        <w:t xml:space="preserve">Judgments considered design limitations, the number and independence of study series, sample size and precision, coherence across studies, applicability to the target population and educational context, and suspected non-reporting. For a body containing one independent series, inconsistency was recorded as not assessable. Publication and non-reporting bias was assessed qualitatively for every evidence body against the restrictions actually applied by this review—English language only, peer-reviewed full articles only, no grey literature or trial registers, and no dedicated engineering or computing databases—and against the observation that eligible reports were located after the initial search; the absence of enough studies for funnel-plot or regression tests was not interpreted as absence of publication bias. Certainty was classified as high, moderate, low, or very low. Functions for which no eligible report was located were identified as gaps in the </w:t>
      </w:r>
      <w:proofErr w:type="gramStart"/>
      <w:r>
        <w:t>located evidence</w:t>
      </w:r>
      <w:proofErr w:type="gramEnd"/>
      <w:r>
        <w:t xml:space="preserve"> and were not rated.</w:t>
      </w:r>
    </w:p>
    <w:p w14:paraId="11033B97" w14:textId="77777777" w:rsidR="00080503" w:rsidRDefault="00080503" w:rsidP="00080503">
      <w:pPr>
        <w:pStyle w:val="MDPI22heading2"/>
      </w:pPr>
      <w:r>
        <w:t xml:space="preserve">2.10. Internal Consistency and </w:t>
      </w:r>
      <w:r w:rsidR="006708D4">
        <w:t>Rigour</w:t>
      </w:r>
    </w:p>
    <w:p w14:paraId="4411D278" w14:textId="77777777" w:rsidR="00080503" w:rsidRDefault="00080503" w:rsidP="00080503">
      <w:pPr>
        <w:pStyle w:val="MDPI31text"/>
      </w:pPr>
      <w:r>
        <w:t>Internal consistency checks compared technology categories, outcome domains, report counts, possible study-series counts, the flow diagram, tables, narrative synthesis, and certainty assessment, and all counts were re-verified after revision-stage adjudications. Screening, extraction, and appraisal were undertaken by one reviewer (A.K.D.); a second pass by the same reviewer does not replace independent duplicate assessment, which remains a review-level limitation (Section 4.6).</w:t>
      </w:r>
    </w:p>
    <w:p w14:paraId="7AC40B6C" w14:textId="77777777" w:rsidR="00247DDB" w:rsidRPr="000D7AD8" w:rsidRDefault="00247DDB" w:rsidP="00CA5C88">
      <w:pPr>
        <w:pStyle w:val="MDPI21heading1"/>
      </w:pPr>
      <w:r w:rsidRPr="000D7AD8">
        <w:t>3. Results</w:t>
      </w:r>
    </w:p>
    <w:p w14:paraId="4DF73987" w14:textId="77777777" w:rsidR="006708D4" w:rsidRDefault="006708D4" w:rsidP="006708D4">
      <w:pPr>
        <w:pStyle w:val="MDPI22heading2"/>
      </w:pPr>
      <w:r>
        <w:t>3.1. Study Selection and Characteristics</w:t>
      </w:r>
    </w:p>
    <w:p w14:paraId="2066BD4C" w14:textId="77777777" w:rsidR="006708D4" w:rsidRDefault="006708D4" w:rsidP="006708D4">
      <w:pPr>
        <w:pStyle w:val="MDPI31text"/>
      </w:pPr>
      <w:r>
        <w:t>The searches retrieved 4,025 records from four bibliographic databases and 270 records from supplementary methods (200 Google Scholar results, 43 citation-search records, 19 publisher-platform records, and 8 records identified during review-stage supplementary searching). After 1,586 duplicates were removed, 2,709 records were screened, and 2,573 were excluded. Full texts were sought for 136 reports; 8 were not retrieved. Of 128 reports assessed, 101 were excluded, leaving 27 reports [23–49] published between 1999 and 2026 (Figure 1). Table S4, Panel D documents selected boundary decisions; it does not enumerate all 101 exclusions. Reports [23] and [24] were treated as one series, so the 27 reports represented up to 26 study series. Additional overlap among four Swedish cohorts could not be excluded (Table S4, Panel C).</w:t>
      </w:r>
    </w:p>
    <w:p w14:paraId="2078CA81" w14:textId="77777777" w:rsidR="006708D4" w:rsidRDefault="006708D4" w:rsidP="006708D4">
      <w:pPr>
        <w:pStyle w:val="MDPI31text"/>
      </w:pPr>
      <w:r>
        <w:t>Seven reports (six study series) evaluated STT [23–28,49], 19 evaluated TTS or mixed TTS/STT [29–37,39–48], and one evaluated an adaptive Braille Tutor [38]. Two reports described random allocation [29,41], ten used non-randomised group or counterbalanced within-participant designs [23–25,30,31,36,40,42,48,49], and fifteen used single-case designs [26–28,32–35,37–39,43–47]. Report samples ranged from 1 to 149 learners. After removing the confirmed [23]</w:t>
      </w:r>
      <w:proofErr w:type="gramStart"/>
      <w:r>
        <w:t>/[</w:t>
      </w:r>
      <w:proofErr w:type="gramEnd"/>
      <w:r>
        <w:t>24] overlap, the arithmetic maximum was 670 enrolled learners: 577 learners with a disability and 93 comparison learners without a disability in [25,40,42,49], plus seven teachers who participated in the mixed-methods component of [38]. Because possible overlap among four Swedish cohorts remains unresolved, the learner totals are upper bounds rather than confirmed counts of unique individuals. Outcome-specific denominators are reported in Table S2.</w:t>
      </w:r>
    </w:p>
    <w:p w14:paraId="54FD6BB0" w14:textId="77777777" w:rsidR="006708D4" w:rsidRDefault="006708D4" w:rsidP="006708D4">
      <w:pPr>
        <w:sectPr w:rsidR="006708D4" w:rsidSect="006708D4">
          <w:footerReference w:type="default" r:id="rId11"/>
          <w:headerReference w:type="first" r:id="rId12"/>
          <w:type w:val="continuous"/>
          <w:pgSz w:w="11906" w:h="16838"/>
          <w:pgMar w:top="1417" w:right="720" w:bottom="907" w:left="720" w:header="720" w:footer="612" w:gutter="0"/>
          <w:lnNumType w:countBy="1" w:distance="255" w:restart="continuous"/>
          <w:pgNumType w:start="1"/>
          <w:cols w:space="720"/>
          <w:formProt w:val="0"/>
          <w:titlePg/>
          <w:docGrid w:type="lines" w:linePitch="326"/>
        </w:sectPr>
      </w:pPr>
    </w:p>
    <w:p w14:paraId="19191AF4" w14:textId="77777777" w:rsidR="006708D4" w:rsidRDefault="006708D4" w:rsidP="006708D4">
      <w:pPr>
        <w:pStyle w:val="MDPI41tablecaption"/>
        <w:keepNext/>
        <w:keepLines/>
      </w:pPr>
      <w:r>
        <w:lastRenderedPageBreak/>
        <w:t>Table 1. Characteristics and principal learner-level findings of the 27 included reports (up to 26 study series).</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2300"/>
        <w:gridCol w:w="3100"/>
        <w:gridCol w:w="3300"/>
        <w:gridCol w:w="6600"/>
      </w:tblGrid>
      <w:tr w:rsidR="006708D4" w:rsidRPr="00CF519D" w14:paraId="7631512C" w14:textId="77777777" w:rsidTr="00A41B6F">
        <w:trPr>
          <w:tblHeader/>
          <w:jc w:val="center"/>
        </w:trPr>
        <w:tc>
          <w:tcPr>
            <w:tcW w:w="2300" w:type="dxa"/>
            <w:tcBorders>
              <w:bottom w:val="single" w:sz="4" w:space="0" w:color="000000"/>
            </w:tcBorders>
            <w:tcMar>
              <w:top w:w="30" w:type="dxa"/>
              <w:left w:w="60" w:type="dxa"/>
              <w:bottom w:w="30" w:type="dxa"/>
              <w:right w:w="60" w:type="dxa"/>
            </w:tcMar>
          </w:tcPr>
          <w:p w14:paraId="732BB836" w14:textId="77777777" w:rsidR="006708D4" w:rsidRPr="00CF519D" w:rsidRDefault="006708D4" w:rsidP="00086E4B">
            <w:pPr>
              <w:pStyle w:val="MDPI42tablebody"/>
              <w:rPr>
                <w:sz w:val="16"/>
                <w:szCs w:val="16"/>
              </w:rPr>
            </w:pPr>
            <w:r w:rsidRPr="00CF519D">
              <w:rPr>
                <w:b/>
                <w:sz w:val="16"/>
                <w:szCs w:val="16"/>
              </w:rPr>
              <w:t>Study</w:t>
            </w:r>
          </w:p>
        </w:tc>
        <w:tc>
          <w:tcPr>
            <w:tcW w:w="3100" w:type="dxa"/>
            <w:tcBorders>
              <w:bottom w:val="single" w:sz="4" w:space="0" w:color="000000"/>
            </w:tcBorders>
            <w:tcMar>
              <w:top w:w="30" w:type="dxa"/>
              <w:left w:w="60" w:type="dxa"/>
              <w:bottom w:w="30" w:type="dxa"/>
              <w:right w:w="60" w:type="dxa"/>
            </w:tcMar>
          </w:tcPr>
          <w:p w14:paraId="6F46EAF2" w14:textId="77777777" w:rsidR="006708D4" w:rsidRPr="00CF519D" w:rsidRDefault="006708D4" w:rsidP="00086E4B">
            <w:pPr>
              <w:pStyle w:val="MDPI42tablebody"/>
              <w:rPr>
                <w:sz w:val="16"/>
                <w:szCs w:val="16"/>
              </w:rPr>
            </w:pPr>
            <w:r w:rsidRPr="00CF519D">
              <w:rPr>
                <w:b/>
                <w:sz w:val="16"/>
                <w:szCs w:val="16"/>
              </w:rPr>
              <w:t>Design and participants</w:t>
            </w:r>
          </w:p>
        </w:tc>
        <w:tc>
          <w:tcPr>
            <w:tcW w:w="3300" w:type="dxa"/>
            <w:tcBorders>
              <w:bottom w:val="single" w:sz="4" w:space="0" w:color="000000"/>
            </w:tcBorders>
            <w:tcMar>
              <w:top w:w="30" w:type="dxa"/>
              <w:left w:w="60" w:type="dxa"/>
              <w:bottom w:w="30" w:type="dxa"/>
              <w:right w:w="60" w:type="dxa"/>
            </w:tcMar>
          </w:tcPr>
          <w:p w14:paraId="0EB04585" w14:textId="77777777" w:rsidR="006708D4" w:rsidRPr="00CF519D" w:rsidRDefault="006708D4" w:rsidP="00086E4B">
            <w:pPr>
              <w:pStyle w:val="MDPI42tablebody"/>
              <w:rPr>
                <w:sz w:val="16"/>
                <w:szCs w:val="16"/>
              </w:rPr>
            </w:pPr>
            <w:r w:rsidRPr="00CF519D">
              <w:rPr>
                <w:b/>
                <w:sz w:val="16"/>
                <w:szCs w:val="16"/>
              </w:rPr>
              <w:t>Intervention and comparator</w:t>
            </w:r>
          </w:p>
        </w:tc>
        <w:tc>
          <w:tcPr>
            <w:tcW w:w="6600" w:type="dxa"/>
            <w:tcBorders>
              <w:bottom w:val="single" w:sz="4" w:space="0" w:color="000000"/>
            </w:tcBorders>
            <w:tcMar>
              <w:top w:w="30" w:type="dxa"/>
              <w:left w:w="60" w:type="dxa"/>
              <w:bottom w:w="30" w:type="dxa"/>
              <w:right w:w="60" w:type="dxa"/>
            </w:tcMar>
          </w:tcPr>
          <w:p w14:paraId="1B67BFAF" w14:textId="77777777" w:rsidR="006708D4" w:rsidRPr="00CF519D" w:rsidRDefault="006708D4" w:rsidP="00086E4B">
            <w:pPr>
              <w:pStyle w:val="MDPI42tablebody"/>
              <w:rPr>
                <w:sz w:val="16"/>
                <w:szCs w:val="16"/>
              </w:rPr>
            </w:pPr>
            <w:r w:rsidRPr="00CF519D">
              <w:rPr>
                <w:b/>
                <w:sz w:val="16"/>
                <w:szCs w:val="16"/>
              </w:rPr>
              <w:t>Outcomes and principal findings</w:t>
            </w:r>
          </w:p>
        </w:tc>
      </w:tr>
      <w:tr w:rsidR="006708D4" w:rsidRPr="00CF519D" w14:paraId="7BC79043" w14:textId="77777777" w:rsidTr="00A41B6F">
        <w:trPr>
          <w:jc w:val="center"/>
        </w:trPr>
        <w:tc>
          <w:tcPr>
            <w:tcW w:w="2300" w:type="dxa"/>
            <w:tcMar>
              <w:top w:w="30" w:type="dxa"/>
              <w:left w:w="60" w:type="dxa"/>
              <w:bottom w:w="30" w:type="dxa"/>
              <w:right w:w="60" w:type="dxa"/>
            </w:tcMar>
          </w:tcPr>
          <w:p w14:paraId="5D03F274" w14:textId="77777777" w:rsidR="006708D4" w:rsidRPr="00CF519D" w:rsidRDefault="006708D4" w:rsidP="00A41B6F">
            <w:pPr>
              <w:pStyle w:val="MDPI42tablebody"/>
              <w:jc w:val="left"/>
              <w:rPr>
                <w:sz w:val="16"/>
                <w:szCs w:val="16"/>
              </w:rPr>
            </w:pPr>
            <w:r w:rsidRPr="00CF519D">
              <w:rPr>
                <w:sz w:val="16"/>
                <w:szCs w:val="16"/>
              </w:rPr>
              <w:t>[23] Raskind and Higgins (1999); USA</w:t>
            </w:r>
          </w:p>
        </w:tc>
        <w:tc>
          <w:tcPr>
            <w:tcW w:w="3100" w:type="dxa"/>
            <w:tcMar>
              <w:top w:w="30" w:type="dxa"/>
              <w:left w:w="60" w:type="dxa"/>
              <w:bottom w:w="30" w:type="dxa"/>
              <w:right w:w="60" w:type="dxa"/>
            </w:tcMar>
          </w:tcPr>
          <w:p w14:paraId="7B793483" w14:textId="77777777" w:rsidR="006708D4" w:rsidRPr="00CF519D" w:rsidRDefault="006708D4" w:rsidP="00A41B6F">
            <w:pPr>
              <w:pStyle w:val="MDPI42tablebody"/>
              <w:jc w:val="left"/>
              <w:rPr>
                <w:sz w:val="16"/>
                <w:szCs w:val="16"/>
              </w:rPr>
            </w:pPr>
            <w:r>
              <w:t>Nonrandomised controlled pretest–posttest study.</w:t>
            </w:r>
          </w:p>
          <w:p w14:paraId="73E086C3" w14:textId="77777777" w:rsidR="006708D4" w:rsidRPr="00CF519D" w:rsidRDefault="006708D4" w:rsidP="00A41B6F">
            <w:pPr>
              <w:pStyle w:val="MDPI42tablebody"/>
              <w:jc w:val="left"/>
              <w:rPr>
                <w:sz w:val="16"/>
                <w:szCs w:val="16"/>
              </w:rPr>
            </w:pPr>
            <w:r w:rsidRPr="00CF519D">
              <w:rPr>
                <w:sz w:val="16"/>
                <w:szCs w:val="16"/>
              </w:rPr>
              <w:t>39 learners with learning disabilities, 9–18 years (STT n = 19; control n = 20)</w:t>
            </w:r>
          </w:p>
        </w:tc>
        <w:tc>
          <w:tcPr>
            <w:tcW w:w="3300" w:type="dxa"/>
            <w:tcMar>
              <w:top w:w="30" w:type="dxa"/>
              <w:left w:w="60" w:type="dxa"/>
              <w:bottom w:w="30" w:type="dxa"/>
              <w:right w:w="60" w:type="dxa"/>
            </w:tcMar>
          </w:tcPr>
          <w:p w14:paraId="079EECBE" w14:textId="77777777" w:rsidR="006708D4" w:rsidRPr="00CF519D" w:rsidRDefault="006708D4" w:rsidP="00A41B6F">
            <w:pPr>
              <w:pStyle w:val="MDPI42tablebody"/>
              <w:jc w:val="left"/>
              <w:rPr>
                <w:sz w:val="16"/>
                <w:szCs w:val="16"/>
              </w:rPr>
            </w:pPr>
            <w:r w:rsidRPr="00CF519D">
              <w:rPr>
                <w:sz w:val="16"/>
                <w:szCs w:val="16"/>
              </w:rPr>
              <w:t>Discrete-speech STT for self-selected and class writing, 50 min/week for 16 weeks; general computer instruction</w:t>
            </w:r>
          </w:p>
        </w:tc>
        <w:tc>
          <w:tcPr>
            <w:tcW w:w="6600" w:type="dxa"/>
            <w:tcMar>
              <w:top w:w="30" w:type="dxa"/>
              <w:left w:w="60" w:type="dxa"/>
              <w:bottom w:w="30" w:type="dxa"/>
              <w:right w:w="60" w:type="dxa"/>
            </w:tcMar>
          </w:tcPr>
          <w:p w14:paraId="76ECD8E9" w14:textId="77777777" w:rsidR="006708D4" w:rsidRPr="00CF519D" w:rsidRDefault="006708D4" w:rsidP="00A41B6F">
            <w:pPr>
              <w:pStyle w:val="MDPI42tablebody"/>
              <w:jc w:val="left"/>
              <w:rPr>
                <w:sz w:val="16"/>
                <w:szCs w:val="16"/>
              </w:rPr>
            </w:pPr>
            <w:r w:rsidRPr="00CF519D">
              <w:rPr>
                <w:sz w:val="16"/>
                <w:szCs w:val="16"/>
              </w:rPr>
              <w:t>Word recognition, spelling, reading comprehension, and reading-related cognitive processes.</w:t>
            </w:r>
          </w:p>
          <w:p w14:paraId="774A6312" w14:textId="77777777" w:rsidR="006708D4" w:rsidRPr="00CF519D" w:rsidRDefault="006708D4" w:rsidP="00A41B6F">
            <w:pPr>
              <w:pStyle w:val="MDPI42tablebody"/>
              <w:jc w:val="left"/>
              <w:rPr>
                <w:sz w:val="16"/>
                <w:szCs w:val="16"/>
              </w:rPr>
            </w:pPr>
            <w:r w:rsidRPr="00CF519D">
              <w:rPr>
                <w:sz w:val="16"/>
                <w:szCs w:val="16"/>
              </w:rPr>
              <w:t>Greater improvement with STT in word recognition (p &lt; 0.0001), spelling (p &lt; 0.002), reading comprehension (p &lt; 0.01), and phonological processing (p &lt; 0.04).</w:t>
            </w:r>
          </w:p>
        </w:tc>
      </w:tr>
      <w:tr w:rsidR="006708D4" w:rsidRPr="00CF519D" w14:paraId="7E5C1532" w14:textId="77777777" w:rsidTr="00A41B6F">
        <w:trPr>
          <w:jc w:val="center"/>
        </w:trPr>
        <w:tc>
          <w:tcPr>
            <w:tcW w:w="2300" w:type="dxa"/>
            <w:tcMar>
              <w:top w:w="30" w:type="dxa"/>
              <w:left w:w="60" w:type="dxa"/>
              <w:bottom w:w="30" w:type="dxa"/>
              <w:right w:w="60" w:type="dxa"/>
            </w:tcMar>
          </w:tcPr>
          <w:p w14:paraId="31F65BBE" w14:textId="77777777" w:rsidR="006708D4" w:rsidRPr="00CF519D" w:rsidRDefault="006708D4" w:rsidP="00A41B6F">
            <w:pPr>
              <w:pStyle w:val="MDPI42tablebody"/>
              <w:jc w:val="left"/>
              <w:rPr>
                <w:sz w:val="16"/>
                <w:szCs w:val="16"/>
              </w:rPr>
            </w:pPr>
            <w:r>
              <w:t>[24] Higgins and Raskind (1999); USA</w:t>
            </w:r>
          </w:p>
        </w:tc>
        <w:tc>
          <w:tcPr>
            <w:tcW w:w="3100" w:type="dxa"/>
            <w:tcMar>
              <w:top w:w="30" w:type="dxa"/>
              <w:left w:w="60" w:type="dxa"/>
              <w:bottom w:w="30" w:type="dxa"/>
              <w:right w:w="60" w:type="dxa"/>
            </w:tcMar>
          </w:tcPr>
          <w:p w14:paraId="532A562C" w14:textId="77777777" w:rsidR="006708D4" w:rsidRPr="00CF519D" w:rsidRDefault="006708D4" w:rsidP="00A41B6F">
            <w:pPr>
              <w:pStyle w:val="MDPI42tablebody"/>
              <w:jc w:val="left"/>
              <w:rPr>
                <w:sz w:val="16"/>
                <w:szCs w:val="16"/>
              </w:rPr>
            </w:pPr>
            <w:r>
              <w:t>Expanded nonrandomised three-group comparison.</w:t>
            </w:r>
          </w:p>
          <w:p w14:paraId="1A38C122" w14:textId="77777777" w:rsidR="006708D4" w:rsidRPr="00CF519D" w:rsidRDefault="006708D4" w:rsidP="00A41B6F">
            <w:pPr>
              <w:pStyle w:val="MDPI42tablebody"/>
              <w:jc w:val="left"/>
              <w:rPr>
                <w:sz w:val="16"/>
                <w:szCs w:val="16"/>
              </w:rPr>
            </w:pPr>
            <w:r w:rsidRPr="00CF519D">
              <w:rPr>
                <w:sz w:val="16"/>
                <w:szCs w:val="16"/>
              </w:rPr>
              <w:t>52 learners with learning disabilities, 9–18 years; includes the 39 participants in [23] plus 13 continuous-speech STT users</w:t>
            </w:r>
          </w:p>
        </w:tc>
        <w:tc>
          <w:tcPr>
            <w:tcW w:w="3300" w:type="dxa"/>
            <w:tcMar>
              <w:top w:w="30" w:type="dxa"/>
              <w:left w:w="60" w:type="dxa"/>
              <w:bottom w:w="30" w:type="dxa"/>
              <w:right w:w="60" w:type="dxa"/>
            </w:tcMar>
          </w:tcPr>
          <w:p w14:paraId="0E560574" w14:textId="77777777" w:rsidR="006708D4" w:rsidRPr="00CF519D" w:rsidRDefault="006708D4" w:rsidP="00A41B6F">
            <w:pPr>
              <w:pStyle w:val="MDPI42tablebody"/>
              <w:jc w:val="left"/>
              <w:rPr>
                <w:sz w:val="16"/>
                <w:szCs w:val="16"/>
              </w:rPr>
            </w:pPr>
            <w:r w:rsidRPr="00CF519D">
              <w:rPr>
                <w:sz w:val="16"/>
                <w:szCs w:val="16"/>
              </w:rPr>
              <w:t>Continuous-speech STT versus discrete-speech STT versus general computer instruction</w:t>
            </w:r>
          </w:p>
        </w:tc>
        <w:tc>
          <w:tcPr>
            <w:tcW w:w="6600" w:type="dxa"/>
            <w:tcMar>
              <w:top w:w="30" w:type="dxa"/>
              <w:left w:w="60" w:type="dxa"/>
              <w:bottom w:w="30" w:type="dxa"/>
              <w:right w:w="60" w:type="dxa"/>
            </w:tcMar>
          </w:tcPr>
          <w:p w14:paraId="151BED4A" w14:textId="77777777" w:rsidR="006708D4" w:rsidRPr="00CF519D" w:rsidRDefault="006708D4" w:rsidP="00A41B6F">
            <w:pPr>
              <w:pStyle w:val="MDPI42tablebody"/>
              <w:jc w:val="left"/>
              <w:rPr>
                <w:sz w:val="16"/>
                <w:szCs w:val="16"/>
              </w:rPr>
            </w:pPr>
            <w:r w:rsidRPr="00CF519D">
              <w:rPr>
                <w:sz w:val="16"/>
                <w:szCs w:val="16"/>
              </w:rPr>
              <w:t>Word recognition, spelling, and reading comprehension.</w:t>
            </w:r>
          </w:p>
          <w:p w14:paraId="6B6AE18F" w14:textId="77777777" w:rsidR="006708D4" w:rsidRPr="00CF519D" w:rsidRDefault="006708D4" w:rsidP="00A41B6F">
            <w:pPr>
              <w:pStyle w:val="MDPI42tablebody"/>
              <w:jc w:val="left"/>
              <w:rPr>
                <w:sz w:val="16"/>
                <w:szCs w:val="16"/>
              </w:rPr>
            </w:pPr>
            <w:r w:rsidRPr="00CF519D">
              <w:rPr>
                <w:sz w:val="16"/>
                <w:szCs w:val="16"/>
              </w:rPr>
              <w:t>Both STT groups improved word recognition and reading comprehension relative to control; the discrete-speech group also improved spelling. This report is not an independent replication of [23].</w:t>
            </w:r>
          </w:p>
        </w:tc>
      </w:tr>
      <w:tr w:rsidR="006708D4" w:rsidRPr="00CF519D" w14:paraId="50EF996D" w14:textId="77777777" w:rsidTr="00A41B6F">
        <w:trPr>
          <w:jc w:val="center"/>
        </w:trPr>
        <w:tc>
          <w:tcPr>
            <w:tcW w:w="2300" w:type="dxa"/>
            <w:tcMar>
              <w:top w:w="30" w:type="dxa"/>
              <w:left w:w="60" w:type="dxa"/>
              <w:bottom w:w="30" w:type="dxa"/>
              <w:right w:w="60" w:type="dxa"/>
            </w:tcMar>
          </w:tcPr>
          <w:p w14:paraId="2DA60EE2" w14:textId="77777777" w:rsidR="006708D4" w:rsidRPr="00CF519D" w:rsidRDefault="006708D4" w:rsidP="00A41B6F">
            <w:pPr>
              <w:pStyle w:val="MDPI42tablebody"/>
              <w:jc w:val="left"/>
              <w:rPr>
                <w:sz w:val="16"/>
                <w:szCs w:val="16"/>
              </w:rPr>
            </w:pPr>
            <w:r w:rsidRPr="00CF519D">
              <w:rPr>
                <w:sz w:val="16"/>
                <w:szCs w:val="16"/>
              </w:rPr>
              <w:t>[25] MacArthur and Cavalier (2004); USA</w:t>
            </w:r>
          </w:p>
        </w:tc>
        <w:tc>
          <w:tcPr>
            <w:tcW w:w="3100" w:type="dxa"/>
            <w:tcMar>
              <w:top w:w="30" w:type="dxa"/>
              <w:left w:w="60" w:type="dxa"/>
              <w:bottom w:w="30" w:type="dxa"/>
              <w:right w:w="60" w:type="dxa"/>
            </w:tcMar>
          </w:tcPr>
          <w:p w14:paraId="5695C759" w14:textId="77777777" w:rsidR="006708D4" w:rsidRPr="00CF519D" w:rsidRDefault="006708D4" w:rsidP="00A41B6F">
            <w:pPr>
              <w:pStyle w:val="MDPI42tablebody"/>
              <w:jc w:val="left"/>
              <w:rPr>
                <w:sz w:val="16"/>
                <w:szCs w:val="16"/>
              </w:rPr>
            </w:pPr>
            <w:r w:rsidRPr="00CF519D">
              <w:rPr>
                <w:sz w:val="16"/>
                <w:szCs w:val="16"/>
              </w:rPr>
              <w:t>Counterbalanced within-participant comparison.</w:t>
            </w:r>
          </w:p>
          <w:p w14:paraId="4B0D739A" w14:textId="77777777" w:rsidR="006708D4" w:rsidRPr="00CF519D" w:rsidRDefault="006708D4" w:rsidP="00A41B6F">
            <w:pPr>
              <w:pStyle w:val="MDPI42tablebody"/>
              <w:jc w:val="left"/>
              <w:rPr>
                <w:sz w:val="16"/>
                <w:szCs w:val="16"/>
              </w:rPr>
            </w:pPr>
            <w:r w:rsidRPr="00CF519D">
              <w:rPr>
                <w:sz w:val="16"/>
                <w:szCs w:val="16"/>
              </w:rPr>
              <w:t>31 high-school students; 21 with learning disabilities and 10 peers without learning disabilities</w:t>
            </w:r>
          </w:p>
        </w:tc>
        <w:tc>
          <w:tcPr>
            <w:tcW w:w="3300" w:type="dxa"/>
            <w:tcMar>
              <w:top w:w="30" w:type="dxa"/>
              <w:left w:w="60" w:type="dxa"/>
              <w:bottom w:w="30" w:type="dxa"/>
              <w:right w:w="60" w:type="dxa"/>
            </w:tcMar>
          </w:tcPr>
          <w:p w14:paraId="5E18C5B7" w14:textId="77777777" w:rsidR="006708D4" w:rsidRPr="00CF519D" w:rsidRDefault="006708D4" w:rsidP="00A41B6F">
            <w:pPr>
              <w:pStyle w:val="MDPI42tablebody"/>
              <w:jc w:val="left"/>
              <w:rPr>
                <w:sz w:val="16"/>
                <w:szCs w:val="16"/>
              </w:rPr>
            </w:pPr>
            <w:r w:rsidRPr="00CF519D">
              <w:rPr>
                <w:sz w:val="16"/>
                <w:szCs w:val="16"/>
              </w:rPr>
              <w:t>Essay production by handwriting, STT dictation, and human scribing</w:t>
            </w:r>
          </w:p>
        </w:tc>
        <w:tc>
          <w:tcPr>
            <w:tcW w:w="6600" w:type="dxa"/>
            <w:tcMar>
              <w:top w:w="30" w:type="dxa"/>
              <w:left w:w="60" w:type="dxa"/>
              <w:bottom w:w="30" w:type="dxa"/>
              <w:right w:w="60" w:type="dxa"/>
            </w:tcMar>
          </w:tcPr>
          <w:p w14:paraId="7765F776" w14:textId="77777777" w:rsidR="006708D4" w:rsidRPr="00CF519D" w:rsidRDefault="006708D4" w:rsidP="00A41B6F">
            <w:pPr>
              <w:pStyle w:val="MDPI42tablebody"/>
              <w:jc w:val="left"/>
              <w:rPr>
                <w:sz w:val="16"/>
                <w:szCs w:val="16"/>
              </w:rPr>
            </w:pPr>
            <w:r w:rsidRPr="00CF519D">
              <w:rPr>
                <w:sz w:val="16"/>
                <w:szCs w:val="16"/>
              </w:rPr>
              <w:t>Essay quality and word-error rate.</w:t>
            </w:r>
          </w:p>
          <w:p w14:paraId="1DD35EFC" w14:textId="77777777" w:rsidR="006708D4" w:rsidRPr="00CF519D" w:rsidRDefault="006708D4" w:rsidP="00A41B6F">
            <w:pPr>
              <w:pStyle w:val="MDPI42tablebody"/>
              <w:jc w:val="left"/>
              <w:rPr>
                <w:sz w:val="16"/>
                <w:szCs w:val="16"/>
              </w:rPr>
            </w:pPr>
            <w:r w:rsidRPr="00CF519D">
              <w:rPr>
                <w:sz w:val="16"/>
                <w:szCs w:val="16"/>
              </w:rPr>
              <w:t>Among students with learning disabilities, STT essays were rated higher than handwritten essays; scribed essays were rated highest. STT word-error rates were below 10%.</w:t>
            </w:r>
          </w:p>
        </w:tc>
      </w:tr>
      <w:tr w:rsidR="006708D4" w:rsidRPr="00CF519D" w14:paraId="551C7CAA" w14:textId="77777777" w:rsidTr="00A41B6F">
        <w:trPr>
          <w:jc w:val="center"/>
        </w:trPr>
        <w:tc>
          <w:tcPr>
            <w:tcW w:w="2300" w:type="dxa"/>
            <w:tcMar>
              <w:top w:w="30" w:type="dxa"/>
              <w:left w:w="60" w:type="dxa"/>
              <w:bottom w:w="30" w:type="dxa"/>
              <w:right w:w="60" w:type="dxa"/>
            </w:tcMar>
          </w:tcPr>
          <w:p w14:paraId="12DDC710" w14:textId="77777777" w:rsidR="006708D4" w:rsidRPr="00CF519D" w:rsidRDefault="006708D4" w:rsidP="00A41B6F">
            <w:pPr>
              <w:pStyle w:val="MDPI42tablebody"/>
              <w:jc w:val="left"/>
              <w:rPr>
                <w:sz w:val="16"/>
                <w:szCs w:val="16"/>
              </w:rPr>
            </w:pPr>
            <w:r w:rsidRPr="00CF519D">
              <w:rPr>
                <w:sz w:val="16"/>
                <w:szCs w:val="16"/>
              </w:rPr>
              <w:t>[26] Almgren Bäck et al. (2024); Norway and Sweden</w:t>
            </w:r>
          </w:p>
        </w:tc>
        <w:tc>
          <w:tcPr>
            <w:tcW w:w="3100" w:type="dxa"/>
            <w:tcMar>
              <w:top w:w="30" w:type="dxa"/>
              <w:left w:w="60" w:type="dxa"/>
              <w:bottom w:w="30" w:type="dxa"/>
              <w:right w:w="60" w:type="dxa"/>
            </w:tcMar>
          </w:tcPr>
          <w:p w14:paraId="612A69D5" w14:textId="77777777" w:rsidR="006708D4" w:rsidRPr="00CF519D" w:rsidRDefault="006708D4" w:rsidP="00A41B6F">
            <w:pPr>
              <w:pStyle w:val="MDPI42tablebody"/>
              <w:jc w:val="left"/>
              <w:rPr>
                <w:sz w:val="16"/>
                <w:szCs w:val="16"/>
              </w:rPr>
            </w:pPr>
            <w:r w:rsidRPr="00CF519D">
              <w:rPr>
                <w:sz w:val="16"/>
                <w:szCs w:val="16"/>
              </w:rPr>
              <w:t>Modified, partially staggered multiple-baseline single-case study.</w:t>
            </w:r>
          </w:p>
          <w:p w14:paraId="332AF2FC" w14:textId="77777777" w:rsidR="006708D4" w:rsidRPr="00CF519D" w:rsidRDefault="006708D4" w:rsidP="00A41B6F">
            <w:pPr>
              <w:pStyle w:val="MDPI42tablebody"/>
              <w:jc w:val="left"/>
              <w:rPr>
                <w:sz w:val="16"/>
                <w:szCs w:val="16"/>
              </w:rPr>
            </w:pPr>
            <w:r w:rsidRPr="00CF519D">
              <w:rPr>
                <w:sz w:val="16"/>
                <w:szCs w:val="16"/>
              </w:rPr>
              <w:t>8 learners with severe reading/writing difficulties (4 per country)</w:t>
            </w:r>
          </w:p>
        </w:tc>
        <w:tc>
          <w:tcPr>
            <w:tcW w:w="3300" w:type="dxa"/>
            <w:tcMar>
              <w:top w:w="30" w:type="dxa"/>
              <w:left w:w="60" w:type="dxa"/>
              <w:bottom w:w="30" w:type="dxa"/>
              <w:right w:w="60" w:type="dxa"/>
            </w:tcMar>
          </w:tcPr>
          <w:p w14:paraId="11B888E3" w14:textId="77777777" w:rsidR="006708D4" w:rsidRPr="00CF519D" w:rsidRDefault="006708D4" w:rsidP="00A41B6F">
            <w:pPr>
              <w:pStyle w:val="MDPI42tablebody"/>
              <w:jc w:val="left"/>
              <w:rPr>
                <w:sz w:val="16"/>
                <w:szCs w:val="16"/>
              </w:rPr>
            </w:pPr>
            <w:r w:rsidRPr="00CF519D">
              <w:rPr>
                <w:sz w:val="16"/>
                <w:szCs w:val="16"/>
              </w:rPr>
              <w:t>Structured STT instruction (25 individual sessions of approximately 30 min), with TTS introduced for revision; keyboarding baseline</w:t>
            </w:r>
          </w:p>
        </w:tc>
        <w:tc>
          <w:tcPr>
            <w:tcW w:w="6600" w:type="dxa"/>
            <w:tcMar>
              <w:top w:w="30" w:type="dxa"/>
              <w:left w:w="60" w:type="dxa"/>
              <w:bottom w:w="30" w:type="dxa"/>
              <w:right w:w="60" w:type="dxa"/>
            </w:tcMar>
          </w:tcPr>
          <w:p w14:paraId="6F68300C" w14:textId="77777777" w:rsidR="006708D4" w:rsidRPr="00CF519D" w:rsidRDefault="006708D4" w:rsidP="00A41B6F">
            <w:pPr>
              <w:pStyle w:val="MDPI42tablebody"/>
              <w:jc w:val="left"/>
              <w:rPr>
                <w:sz w:val="16"/>
                <w:szCs w:val="16"/>
              </w:rPr>
            </w:pPr>
            <w:r w:rsidRPr="00CF519D">
              <w:rPr>
                <w:sz w:val="16"/>
                <w:szCs w:val="16"/>
              </w:rPr>
              <w:t>Text length, sentence construction, writing accuracy, punctuation, vocabulary diversity, and maintenance.</w:t>
            </w:r>
          </w:p>
          <w:p w14:paraId="0B08366C" w14:textId="77777777" w:rsidR="006708D4" w:rsidRPr="00CF519D" w:rsidRDefault="006708D4" w:rsidP="00A41B6F">
            <w:pPr>
              <w:pStyle w:val="MDPI42tablebody"/>
              <w:jc w:val="left"/>
              <w:rPr>
                <w:sz w:val="16"/>
                <w:szCs w:val="16"/>
              </w:rPr>
            </w:pPr>
            <w:r w:rsidRPr="00CF519D">
              <w:rPr>
                <w:sz w:val="16"/>
                <w:szCs w:val="16"/>
              </w:rPr>
              <w:t>Seven of eight learners increased text productivity; accuracy was generally maintained or improved. Responses differed by learner and outcome; one participant had only one usable baseline observation.</w:t>
            </w:r>
          </w:p>
        </w:tc>
      </w:tr>
      <w:tr w:rsidR="006708D4" w:rsidRPr="00CF519D" w14:paraId="4CB06C7D" w14:textId="77777777" w:rsidTr="00A41B6F">
        <w:trPr>
          <w:jc w:val="center"/>
        </w:trPr>
        <w:tc>
          <w:tcPr>
            <w:tcW w:w="2300" w:type="dxa"/>
            <w:tcMar>
              <w:top w:w="30" w:type="dxa"/>
              <w:left w:w="60" w:type="dxa"/>
              <w:bottom w:w="30" w:type="dxa"/>
              <w:right w:w="60" w:type="dxa"/>
            </w:tcMar>
          </w:tcPr>
          <w:p w14:paraId="40E75EC6" w14:textId="77777777" w:rsidR="006708D4" w:rsidRPr="00CF519D" w:rsidRDefault="006708D4" w:rsidP="00A41B6F">
            <w:pPr>
              <w:pStyle w:val="MDPI42tablebody"/>
              <w:jc w:val="left"/>
              <w:rPr>
                <w:sz w:val="16"/>
                <w:szCs w:val="16"/>
              </w:rPr>
            </w:pPr>
            <w:r w:rsidRPr="00CF519D">
              <w:rPr>
                <w:sz w:val="16"/>
                <w:szCs w:val="16"/>
              </w:rPr>
              <w:t xml:space="preserve">[27] </w:t>
            </w:r>
            <w:proofErr w:type="spellStart"/>
            <w:r w:rsidRPr="00CF519D">
              <w:rPr>
                <w:sz w:val="16"/>
                <w:szCs w:val="16"/>
              </w:rPr>
              <w:t>Fälth</w:t>
            </w:r>
            <w:proofErr w:type="spellEnd"/>
            <w:r w:rsidRPr="00CF519D">
              <w:rPr>
                <w:sz w:val="16"/>
                <w:szCs w:val="16"/>
              </w:rPr>
              <w:t xml:space="preserve"> et al. (2025); Sweden</w:t>
            </w:r>
          </w:p>
        </w:tc>
        <w:tc>
          <w:tcPr>
            <w:tcW w:w="3100" w:type="dxa"/>
            <w:tcMar>
              <w:top w:w="30" w:type="dxa"/>
              <w:left w:w="60" w:type="dxa"/>
              <w:bottom w:w="30" w:type="dxa"/>
              <w:right w:w="60" w:type="dxa"/>
            </w:tcMar>
          </w:tcPr>
          <w:p w14:paraId="072BA3AE" w14:textId="77777777" w:rsidR="006708D4" w:rsidRPr="00CF519D" w:rsidRDefault="006708D4" w:rsidP="00A41B6F">
            <w:pPr>
              <w:pStyle w:val="MDPI42tablebody"/>
              <w:jc w:val="left"/>
              <w:rPr>
                <w:sz w:val="16"/>
                <w:szCs w:val="16"/>
              </w:rPr>
            </w:pPr>
            <w:r w:rsidRPr="00CF519D">
              <w:rPr>
                <w:sz w:val="16"/>
                <w:szCs w:val="16"/>
              </w:rPr>
              <w:t>A–B single-case study.</w:t>
            </w:r>
          </w:p>
          <w:p w14:paraId="30330435" w14:textId="77777777" w:rsidR="006708D4" w:rsidRPr="00CF519D" w:rsidRDefault="006708D4" w:rsidP="00A41B6F">
            <w:pPr>
              <w:pStyle w:val="MDPI42tablebody"/>
              <w:jc w:val="left"/>
              <w:rPr>
                <w:sz w:val="16"/>
                <w:szCs w:val="16"/>
              </w:rPr>
            </w:pPr>
            <w:r w:rsidRPr="00CF519D">
              <w:rPr>
                <w:sz w:val="16"/>
                <w:szCs w:val="16"/>
              </w:rPr>
              <w:t>7 learners with mild intellectual disability, 10–13 years</w:t>
            </w:r>
          </w:p>
        </w:tc>
        <w:tc>
          <w:tcPr>
            <w:tcW w:w="3300" w:type="dxa"/>
            <w:tcMar>
              <w:top w:w="30" w:type="dxa"/>
              <w:left w:w="60" w:type="dxa"/>
              <w:bottom w:w="30" w:type="dxa"/>
              <w:right w:w="60" w:type="dxa"/>
            </w:tcMar>
          </w:tcPr>
          <w:p w14:paraId="30352F5C" w14:textId="77777777" w:rsidR="006708D4" w:rsidRPr="00CF519D" w:rsidRDefault="006708D4" w:rsidP="00A41B6F">
            <w:pPr>
              <w:pStyle w:val="MDPI42tablebody"/>
              <w:jc w:val="left"/>
              <w:rPr>
                <w:sz w:val="16"/>
                <w:szCs w:val="16"/>
              </w:rPr>
            </w:pPr>
            <w:r>
              <w:t>STT plus teacher modelling, checklists, and individualised writing instruction; independent keyboard writing baseline; 5 baseline and 10 intervention assessments</w:t>
            </w:r>
          </w:p>
        </w:tc>
        <w:tc>
          <w:tcPr>
            <w:tcW w:w="6600" w:type="dxa"/>
            <w:tcMar>
              <w:top w:w="30" w:type="dxa"/>
              <w:left w:w="60" w:type="dxa"/>
              <w:bottom w:w="30" w:type="dxa"/>
              <w:right w:w="60" w:type="dxa"/>
            </w:tcMar>
          </w:tcPr>
          <w:p w14:paraId="0366A88E" w14:textId="77777777" w:rsidR="006708D4" w:rsidRPr="00CF519D" w:rsidRDefault="006708D4" w:rsidP="00A41B6F">
            <w:pPr>
              <w:pStyle w:val="MDPI42tablebody"/>
              <w:jc w:val="left"/>
              <w:rPr>
                <w:sz w:val="16"/>
                <w:szCs w:val="16"/>
              </w:rPr>
            </w:pPr>
            <w:r w:rsidRPr="00CF519D">
              <w:rPr>
                <w:sz w:val="16"/>
                <w:szCs w:val="16"/>
              </w:rPr>
              <w:t>Text length, punctuation, sentence completeness, narrative structure, and coherence.</w:t>
            </w:r>
          </w:p>
          <w:p w14:paraId="145CF1AE" w14:textId="77777777" w:rsidR="006708D4" w:rsidRPr="00CF519D" w:rsidRDefault="006708D4" w:rsidP="00A41B6F">
            <w:pPr>
              <w:pStyle w:val="MDPI42tablebody"/>
              <w:jc w:val="left"/>
              <w:rPr>
                <w:sz w:val="16"/>
                <w:szCs w:val="16"/>
              </w:rPr>
            </w:pPr>
            <w:r w:rsidRPr="00CF519D">
              <w:rPr>
                <w:sz w:val="16"/>
                <w:szCs w:val="16"/>
              </w:rPr>
              <w:t>Text-length percentage-exceeding-the-median (PEM) values ranged from 30% to 100%; text-quality PEM values ranged from 10% to 100%. Improvement was substantial for some learners and limited or absent for others.</w:t>
            </w:r>
          </w:p>
        </w:tc>
      </w:tr>
      <w:tr w:rsidR="006708D4" w:rsidRPr="00CF519D" w14:paraId="237EF065" w14:textId="77777777" w:rsidTr="00A41B6F">
        <w:trPr>
          <w:jc w:val="center"/>
        </w:trPr>
        <w:tc>
          <w:tcPr>
            <w:tcW w:w="2300" w:type="dxa"/>
            <w:tcMar>
              <w:top w:w="30" w:type="dxa"/>
              <w:left w:w="60" w:type="dxa"/>
              <w:bottom w:w="30" w:type="dxa"/>
              <w:right w:w="60" w:type="dxa"/>
            </w:tcMar>
          </w:tcPr>
          <w:p w14:paraId="273ECDCE" w14:textId="77777777" w:rsidR="006708D4" w:rsidRPr="00CF519D" w:rsidRDefault="006708D4" w:rsidP="00A41B6F">
            <w:pPr>
              <w:pStyle w:val="MDPI42tablebody"/>
              <w:jc w:val="left"/>
              <w:rPr>
                <w:sz w:val="16"/>
                <w:szCs w:val="16"/>
              </w:rPr>
            </w:pPr>
            <w:r w:rsidRPr="00CF519D">
              <w:rPr>
                <w:sz w:val="16"/>
                <w:szCs w:val="16"/>
              </w:rPr>
              <w:t>[28] Sand et al. (2025); Sweden</w:t>
            </w:r>
          </w:p>
        </w:tc>
        <w:tc>
          <w:tcPr>
            <w:tcW w:w="3100" w:type="dxa"/>
            <w:tcMar>
              <w:top w:w="30" w:type="dxa"/>
              <w:left w:w="60" w:type="dxa"/>
              <w:bottom w:w="30" w:type="dxa"/>
              <w:right w:w="60" w:type="dxa"/>
            </w:tcMar>
          </w:tcPr>
          <w:p w14:paraId="2F6A1BDF" w14:textId="77777777" w:rsidR="006708D4" w:rsidRPr="00CF519D" w:rsidRDefault="006708D4" w:rsidP="00A41B6F">
            <w:pPr>
              <w:pStyle w:val="MDPI42tablebody"/>
              <w:jc w:val="left"/>
              <w:rPr>
                <w:sz w:val="16"/>
                <w:szCs w:val="16"/>
              </w:rPr>
            </w:pPr>
            <w:r w:rsidRPr="00CF519D">
              <w:rPr>
                <w:sz w:val="16"/>
                <w:szCs w:val="16"/>
              </w:rPr>
              <w:t>A–B single-case study with maintenance.</w:t>
            </w:r>
          </w:p>
          <w:p w14:paraId="14BC1128" w14:textId="77777777" w:rsidR="006708D4" w:rsidRPr="00CF519D" w:rsidRDefault="006708D4" w:rsidP="00A41B6F">
            <w:pPr>
              <w:pStyle w:val="MDPI42tablebody"/>
              <w:jc w:val="left"/>
              <w:rPr>
                <w:sz w:val="16"/>
                <w:szCs w:val="16"/>
              </w:rPr>
            </w:pPr>
            <w:r w:rsidRPr="00CF519D">
              <w:rPr>
                <w:sz w:val="16"/>
                <w:szCs w:val="16"/>
              </w:rPr>
              <w:t>4 learners with mild intellectual disability, 10–13 years</w:t>
            </w:r>
          </w:p>
        </w:tc>
        <w:tc>
          <w:tcPr>
            <w:tcW w:w="3300" w:type="dxa"/>
            <w:tcMar>
              <w:top w:w="30" w:type="dxa"/>
              <w:left w:w="60" w:type="dxa"/>
              <w:bottom w:w="30" w:type="dxa"/>
              <w:right w:w="60" w:type="dxa"/>
            </w:tcMar>
          </w:tcPr>
          <w:p w14:paraId="0DEAE887" w14:textId="77777777" w:rsidR="006708D4" w:rsidRPr="00CF519D" w:rsidRDefault="00086E4B" w:rsidP="00A41B6F">
            <w:pPr>
              <w:pStyle w:val="MDPI42tablebody"/>
              <w:jc w:val="left"/>
              <w:rPr>
                <w:sz w:val="16"/>
                <w:szCs w:val="16"/>
              </w:rPr>
            </w:pPr>
            <w:r w:rsidRPr="00CF519D">
              <w:rPr>
                <w:sz w:val="16"/>
                <w:szCs w:val="16"/>
              </w:rPr>
              <w:t>Individualised</w:t>
            </w:r>
            <w:r w:rsidR="006708D4" w:rsidRPr="00CF519D">
              <w:rPr>
                <w:sz w:val="16"/>
                <w:szCs w:val="16"/>
              </w:rPr>
              <w:t xml:space="preserve"> STT intervention; 3 baseline, 15 intervention, and 3-month maintenance observations</w:t>
            </w:r>
          </w:p>
        </w:tc>
        <w:tc>
          <w:tcPr>
            <w:tcW w:w="6600" w:type="dxa"/>
            <w:tcMar>
              <w:top w:w="30" w:type="dxa"/>
              <w:left w:w="60" w:type="dxa"/>
              <w:bottom w:w="30" w:type="dxa"/>
              <w:right w:w="60" w:type="dxa"/>
            </w:tcMar>
          </w:tcPr>
          <w:p w14:paraId="07E730FA" w14:textId="77777777" w:rsidR="006708D4" w:rsidRPr="00CF519D" w:rsidRDefault="006708D4" w:rsidP="00A41B6F">
            <w:pPr>
              <w:pStyle w:val="MDPI42tablebody"/>
              <w:jc w:val="left"/>
              <w:rPr>
                <w:sz w:val="16"/>
                <w:szCs w:val="16"/>
              </w:rPr>
            </w:pPr>
            <w:r w:rsidRPr="00CF519D">
              <w:rPr>
                <w:sz w:val="16"/>
                <w:szCs w:val="16"/>
              </w:rPr>
              <w:t>Words, sentences, and content units produced.</w:t>
            </w:r>
          </w:p>
          <w:p w14:paraId="4B4EA78F" w14:textId="77777777" w:rsidR="006708D4" w:rsidRPr="00CF519D" w:rsidRDefault="006708D4" w:rsidP="00A41B6F">
            <w:pPr>
              <w:pStyle w:val="MDPI42tablebody"/>
              <w:jc w:val="left"/>
              <w:rPr>
                <w:sz w:val="16"/>
                <w:szCs w:val="16"/>
              </w:rPr>
            </w:pPr>
            <w:r w:rsidRPr="00CF519D">
              <w:rPr>
                <w:sz w:val="16"/>
                <w:szCs w:val="16"/>
              </w:rPr>
              <w:t>All four learners increased words, sentences, and content during intervention; reported nonoverlap-of-all-pairs values ranged from 0.93 to 1.00. The three-point baseline limits causal inference.</w:t>
            </w:r>
          </w:p>
        </w:tc>
      </w:tr>
      <w:tr w:rsidR="006708D4" w:rsidRPr="00CF519D" w14:paraId="4D50D070" w14:textId="77777777" w:rsidTr="00A41B6F">
        <w:trPr>
          <w:jc w:val="center"/>
        </w:trPr>
        <w:tc>
          <w:tcPr>
            <w:tcW w:w="2300" w:type="dxa"/>
            <w:tcMar>
              <w:top w:w="30" w:type="dxa"/>
              <w:left w:w="60" w:type="dxa"/>
              <w:bottom w:w="30" w:type="dxa"/>
              <w:right w:w="60" w:type="dxa"/>
            </w:tcMar>
          </w:tcPr>
          <w:p w14:paraId="57D90531" w14:textId="77777777" w:rsidR="006708D4" w:rsidRPr="00CF519D" w:rsidRDefault="006708D4" w:rsidP="00A41B6F">
            <w:pPr>
              <w:pStyle w:val="MDPI42tablebody"/>
              <w:jc w:val="left"/>
              <w:rPr>
                <w:sz w:val="16"/>
                <w:szCs w:val="16"/>
              </w:rPr>
            </w:pPr>
            <w:r w:rsidRPr="00CF519D">
              <w:rPr>
                <w:sz w:val="16"/>
                <w:szCs w:val="16"/>
              </w:rPr>
              <w:t>[29] Bhola (2022); India</w:t>
            </w:r>
          </w:p>
        </w:tc>
        <w:tc>
          <w:tcPr>
            <w:tcW w:w="3100" w:type="dxa"/>
            <w:tcMar>
              <w:top w:w="30" w:type="dxa"/>
              <w:left w:w="60" w:type="dxa"/>
              <w:bottom w:w="30" w:type="dxa"/>
              <w:right w:w="60" w:type="dxa"/>
            </w:tcMar>
          </w:tcPr>
          <w:p w14:paraId="3BA912FA" w14:textId="77777777" w:rsidR="006708D4" w:rsidRPr="00CF519D" w:rsidRDefault="00086E4B" w:rsidP="00A41B6F">
            <w:pPr>
              <w:pStyle w:val="MDPI42tablebody"/>
              <w:jc w:val="left"/>
              <w:rPr>
                <w:sz w:val="16"/>
                <w:szCs w:val="16"/>
              </w:rPr>
            </w:pPr>
            <w:r w:rsidRPr="00CF519D">
              <w:rPr>
                <w:sz w:val="16"/>
                <w:szCs w:val="16"/>
              </w:rPr>
              <w:t>Randomised</w:t>
            </w:r>
            <w:r w:rsidR="006708D4" w:rsidRPr="00CF519D">
              <w:rPr>
                <w:sz w:val="16"/>
                <w:szCs w:val="16"/>
              </w:rPr>
              <w:t xml:space="preserve"> parallel-group pretest–posttest study as reported.</w:t>
            </w:r>
          </w:p>
          <w:p w14:paraId="6049C30E" w14:textId="77777777" w:rsidR="006708D4" w:rsidRPr="00CF519D" w:rsidRDefault="006708D4" w:rsidP="00A41B6F">
            <w:pPr>
              <w:pStyle w:val="MDPI42tablebody"/>
              <w:jc w:val="left"/>
              <w:rPr>
                <w:sz w:val="16"/>
                <w:szCs w:val="16"/>
              </w:rPr>
            </w:pPr>
            <w:r w:rsidRPr="00CF519D">
              <w:rPr>
                <w:sz w:val="16"/>
                <w:szCs w:val="16"/>
              </w:rPr>
              <w:lastRenderedPageBreak/>
              <w:t>20 learners with dyslexia, 6–12 years (10 per group)</w:t>
            </w:r>
          </w:p>
        </w:tc>
        <w:tc>
          <w:tcPr>
            <w:tcW w:w="3300" w:type="dxa"/>
            <w:tcMar>
              <w:top w:w="30" w:type="dxa"/>
              <w:left w:w="60" w:type="dxa"/>
              <w:bottom w:w="30" w:type="dxa"/>
              <w:right w:w="60" w:type="dxa"/>
            </w:tcMar>
          </w:tcPr>
          <w:p w14:paraId="08CCDFCF" w14:textId="77777777" w:rsidR="006708D4" w:rsidRPr="00CF519D" w:rsidRDefault="006708D4" w:rsidP="00A41B6F">
            <w:pPr>
              <w:pStyle w:val="MDPI42tablebody"/>
              <w:jc w:val="left"/>
              <w:rPr>
                <w:sz w:val="16"/>
                <w:szCs w:val="16"/>
              </w:rPr>
            </w:pPr>
            <w:r w:rsidRPr="00CF519D">
              <w:rPr>
                <w:sz w:val="16"/>
                <w:szCs w:val="16"/>
              </w:rPr>
              <w:lastRenderedPageBreak/>
              <w:t>TTS-supported teaching for 4 months; conventional teaching</w:t>
            </w:r>
          </w:p>
        </w:tc>
        <w:tc>
          <w:tcPr>
            <w:tcW w:w="6600" w:type="dxa"/>
            <w:tcMar>
              <w:top w:w="30" w:type="dxa"/>
              <w:left w:w="60" w:type="dxa"/>
              <w:bottom w:w="30" w:type="dxa"/>
              <w:right w:w="60" w:type="dxa"/>
            </w:tcMar>
          </w:tcPr>
          <w:p w14:paraId="36B2B502" w14:textId="77777777" w:rsidR="006708D4" w:rsidRPr="00CF519D" w:rsidRDefault="006708D4" w:rsidP="00A41B6F">
            <w:pPr>
              <w:pStyle w:val="MDPI42tablebody"/>
              <w:jc w:val="left"/>
              <w:rPr>
                <w:sz w:val="16"/>
                <w:szCs w:val="16"/>
              </w:rPr>
            </w:pPr>
            <w:r w:rsidRPr="00CF519D">
              <w:rPr>
                <w:sz w:val="16"/>
                <w:szCs w:val="16"/>
              </w:rPr>
              <w:t>Researcher-developed 50-item Hindi/English academic-achievement test.</w:t>
            </w:r>
          </w:p>
          <w:p w14:paraId="00D6D909" w14:textId="77777777" w:rsidR="006708D4" w:rsidRPr="00CF519D" w:rsidRDefault="006708D4" w:rsidP="00A41B6F">
            <w:pPr>
              <w:pStyle w:val="MDPI42tablebody"/>
              <w:jc w:val="left"/>
              <w:rPr>
                <w:sz w:val="16"/>
                <w:szCs w:val="16"/>
              </w:rPr>
            </w:pPr>
            <w:r w:rsidRPr="00CF519D">
              <w:rPr>
                <w:sz w:val="16"/>
                <w:szCs w:val="16"/>
              </w:rPr>
              <w:lastRenderedPageBreak/>
              <w:t xml:space="preserve">Posttest </w:t>
            </w:r>
            <w:proofErr w:type="gramStart"/>
            <w:r w:rsidRPr="00CF519D">
              <w:rPr>
                <w:sz w:val="16"/>
                <w:szCs w:val="16"/>
              </w:rPr>
              <w:t>mean</w:t>
            </w:r>
            <w:proofErr w:type="gramEnd"/>
            <w:r w:rsidRPr="00CF519D">
              <w:rPr>
                <w:sz w:val="16"/>
                <w:szCs w:val="16"/>
              </w:rPr>
              <w:t xml:space="preserve"> 28 (SD 3.61) with TTS versus 24 (SD 4.52) with conventional teaching (t = 2.186, p &lt; 0.05). Random-sequence generation, allocation concealment, and outcome validation were not reported.</w:t>
            </w:r>
          </w:p>
        </w:tc>
      </w:tr>
      <w:tr w:rsidR="006708D4" w:rsidRPr="00CF519D" w14:paraId="27B59686" w14:textId="77777777" w:rsidTr="00A41B6F">
        <w:trPr>
          <w:jc w:val="center"/>
        </w:trPr>
        <w:tc>
          <w:tcPr>
            <w:tcW w:w="2300" w:type="dxa"/>
            <w:tcMar>
              <w:top w:w="30" w:type="dxa"/>
              <w:left w:w="60" w:type="dxa"/>
              <w:bottom w:w="30" w:type="dxa"/>
              <w:right w:w="60" w:type="dxa"/>
            </w:tcMar>
          </w:tcPr>
          <w:p w14:paraId="30592BEF" w14:textId="77777777" w:rsidR="006708D4" w:rsidRPr="00CF519D" w:rsidRDefault="006708D4" w:rsidP="00A41B6F">
            <w:pPr>
              <w:pStyle w:val="MDPI42tablebody"/>
              <w:jc w:val="left"/>
              <w:rPr>
                <w:sz w:val="16"/>
                <w:szCs w:val="16"/>
              </w:rPr>
            </w:pPr>
            <w:r w:rsidRPr="00CF519D">
              <w:rPr>
                <w:sz w:val="16"/>
                <w:szCs w:val="16"/>
              </w:rPr>
              <w:lastRenderedPageBreak/>
              <w:t>[30] Svensson et al. (2021); Sweden</w:t>
            </w:r>
          </w:p>
        </w:tc>
        <w:tc>
          <w:tcPr>
            <w:tcW w:w="3100" w:type="dxa"/>
            <w:tcMar>
              <w:top w:w="30" w:type="dxa"/>
              <w:left w:w="60" w:type="dxa"/>
              <w:bottom w:w="30" w:type="dxa"/>
              <w:right w:w="60" w:type="dxa"/>
            </w:tcMar>
          </w:tcPr>
          <w:p w14:paraId="67F74D8F" w14:textId="77777777" w:rsidR="006708D4" w:rsidRPr="00CF519D" w:rsidRDefault="006708D4" w:rsidP="00A41B6F">
            <w:pPr>
              <w:pStyle w:val="MDPI42tablebody"/>
              <w:jc w:val="left"/>
              <w:rPr>
                <w:sz w:val="16"/>
                <w:szCs w:val="16"/>
              </w:rPr>
            </w:pPr>
            <w:r>
              <w:t>Nonrandomised controlled longitudinal study.</w:t>
            </w:r>
          </w:p>
          <w:p w14:paraId="156749B5" w14:textId="77777777" w:rsidR="006708D4" w:rsidRPr="00CF519D" w:rsidRDefault="006708D4" w:rsidP="00A41B6F">
            <w:pPr>
              <w:pStyle w:val="MDPI42tablebody"/>
              <w:jc w:val="left"/>
              <w:rPr>
                <w:sz w:val="16"/>
                <w:szCs w:val="16"/>
              </w:rPr>
            </w:pPr>
            <w:r w:rsidRPr="00CF519D">
              <w:rPr>
                <w:sz w:val="16"/>
                <w:szCs w:val="16"/>
              </w:rPr>
              <w:t>149 students with severe reading/writing difficulties in grades 4, 8, or high school</w:t>
            </w:r>
          </w:p>
        </w:tc>
        <w:tc>
          <w:tcPr>
            <w:tcW w:w="3300" w:type="dxa"/>
            <w:tcMar>
              <w:top w:w="30" w:type="dxa"/>
              <w:left w:w="60" w:type="dxa"/>
              <w:bottom w:w="30" w:type="dxa"/>
              <w:right w:w="60" w:type="dxa"/>
            </w:tcMar>
          </w:tcPr>
          <w:p w14:paraId="368367AA" w14:textId="77777777" w:rsidR="006708D4" w:rsidRPr="00CF519D" w:rsidRDefault="006708D4" w:rsidP="00A41B6F">
            <w:pPr>
              <w:pStyle w:val="MDPI42tablebody"/>
              <w:jc w:val="left"/>
              <w:rPr>
                <w:sz w:val="16"/>
                <w:szCs w:val="16"/>
              </w:rPr>
            </w:pPr>
            <w:r w:rsidRPr="00CF519D">
              <w:rPr>
                <w:sz w:val="16"/>
                <w:szCs w:val="16"/>
              </w:rPr>
              <w:t>Twenty-four sessions using TTS and STT applications; treatment as usual</w:t>
            </w:r>
          </w:p>
        </w:tc>
        <w:tc>
          <w:tcPr>
            <w:tcW w:w="6600" w:type="dxa"/>
            <w:tcMar>
              <w:top w:w="30" w:type="dxa"/>
              <w:left w:w="60" w:type="dxa"/>
              <w:bottom w:w="30" w:type="dxa"/>
              <w:right w:w="60" w:type="dxa"/>
            </w:tcMar>
          </w:tcPr>
          <w:p w14:paraId="6A2CC676" w14:textId="77777777" w:rsidR="006708D4" w:rsidRPr="00CF519D" w:rsidRDefault="006708D4" w:rsidP="00A41B6F">
            <w:pPr>
              <w:pStyle w:val="MDPI42tablebody"/>
              <w:jc w:val="left"/>
              <w:rPr>
                <w:sz w:val="16"/>
                <w:szCs w:val="16"/>
              </w:rPr>
            </w:pPr>
            <w:r w:rsidRPr="00CF519D">
              <w:rPr>
                <w:sz w:val="16"/>
                <w:szCs w:val="16"/>
              </w:rPr>
              <w:t xml:space="preserve">Reading, listening comprehension, motivation, and related </w:t>
            </w:r>
            <w:r w:rsidR="00086E4B" w:rsidRPr="00CF519D">
              <w:rPr>
                <w:sz w:val="16"/>
                <w:szCs w:val="16"/>
              </w:rPr>
              <w:t>standardised</w:t>
            </w:r>
            <w:r w:rsidRPr="00CF519D">
              <w:rPr>
                <w:sz w:val="16"/>
                <w:szCs w:val="16"/>
              </w:rPr>
              <w:t xml:space="preserve"> measures.</w:t>
            </w:r>
          </w:p>
          <w:p w14:paraId="52C697AD" w14:textId="77777777" w:rsidR="006708D4" w:rsidRPr="00CF519D" w:rsidRDefault="006708D4" w:rsidP="00A41B6F">
            <w:pPr>
              <w:pStyle w:val="MDPI42tablebody"/>
              <w:jc w:val="left"/>
              <w:rPr>
                <w:sz w:val="16"/>
                <w:szCs w:val="16"/>
              </w:rPr>
            </w:pPr>
            <w:r w:rsidRPr="00CF519D">
              <w:rPr>
                <w:sz w:val="16"/>
                <w:szCs w:val="16"/>
              </w:rPr>
              <w:t>Both groups improved over time, but no overall between-group superiority was detected after intervention or at 1-year follow-up. Approximately 30% of participants were unavailable at the final assessment.</w:t>
            </w:r>
          </w:p>
        </w:tc>
      </w:tr>
      <w:tr w:rsidR="006708D4" w:rsidRPr="00CF519D" w14:paraId="2B916550" w14:textId="77777777" w:rsidTr="00A41B6F">
        <w:trPr>
          <w:jc w:val="center"/>
        </w:trPr>
        <w:tc>
          <w:tcPr>
            <w:tcW w:w="2300" w:type="dxa"/>
            <w:tcMar>
              <w:top w:w="30" w:type="dxa"/>
              <w:left w:w="60" w:type="dxa"/>
              <w:bottom w:w="30" w:type="dxa"/>
              <w:right w:w="60" w:type="dxa"/>
            </w:tcMar>
          </w:tcPr>
          <w:p w14:paraId="7C5C61E0" w14:textId="77777777" w:rsidR="006708D4" w:rsidRPr="00CF519D" w:rsidRDefault="006708D4" w:rsidP="00A41B6F">
            <w:pPr>
              <w:pStyle w:val="MDPI42tablebody"/>
              <w:jc w:val="left"/>
              <w:rPr>
                <w:sz w:val="16"/>
                <w:szCs w:val="16"/>
              </w:rPr>
            </w:pPr>
            <w:r w:rsidRPr="00CF519D">
              <w:rPr>
                <w:sz w:val="16"/>
                <w:szCs w:val="16"/>
              </w:rPr>
              <w:t>[31] Keelor et al. (2023); USA</w:t>
            </w:r>
          </w:p>
        </w:tc>
        <w:tc>
          <w:tcPr>
            <w:tcW w:w="3100" w:type="dxa"/>
            <w:tcMar>
              <w:top w:w="30" w:type="dxa"/>
              <w:left w:w="60" w:type="dxa"/>
              <w:bottom w:w="30" w:type="dxa"/>
              <w:right w:w="60" w:type="dxa"/>
            </w:tcMar>
          </w:tcPr>
          <w:p w14:paraId="7F23CE59" w14:textId="77777777" w:rsidR="006708D4" w:rsidRPr="00CF519D" w:rsidRDefault="006708D4" w:rsidP="00A41B6F">
            <w:pPr>
              <w:pStyle w:val="MDPI42tablebody"/>
              <w:jc w:val="left"/>
              <w:rPr>
                <w:sz w:val="16"/>
                <w:szCs w:val="16"/>
              </w:rPr>
            </w:pPr>
            <w:r w:rsidRPr="00CF519D">
              <w:rPr>
                <w:sz w:val="16"/>
                <w:szCs w:val="16"/>
              </w:rPr>
              <w:t>Counterbalanced within-participant five-condition experiment.</w:t>
            </w:r>
          </w:p>
          <w:p w14:paraId="1BB035D4" w14:textId="77777777" w:rsidR="006708D4" w:rsidRPr="00CF519D" w:rsidRDefault="006708D4" w:rsidP="00A41B6F">
            <w:pPr>
              <w:pStyle w:val="MDPI42tablebody"/>
              <w:jc w:val="left"/>
              <w:rPr>
                <w:sz w:val="16"/>
                <w:szCs w:val="16"/>
              </w:rPr>
            </w:pPr>
            <w:r w:rsidRPr="00CF519D">
              <w:rPr>
                <w:sz w:val="16"/>
                <w:szCs w:val="16"/>
              </w:rPr>
              <w:t>29 learners with reading difficulties, 8–12 years</w:t>
            </w:r>
          </w:p>
        </w:tc>
        <w:tc>
          <w:tcPr>
            <w:tcW w:w="3300" w:type="dxa"/>
            <w:tcMar>
              <w:top w:w="30" w:type="dxa"/>
              <w:left w:w="60" w:type="dxa"/>
              <w:bottom w:w="30" w:type="dxa"/>
              <w:right w:w="60" w:type="dxa"/>
            </w:tcMar>
          </w:tcPr>
          <w:p w14:paraId="520DC57B" w14:textId="77777777" w:rsidR="006708D4" w:rsidRPr="00CF519D" w:rsidRDefault="006708D4" w:rsidP="00A41B6F">
            <w:pPr>
              <w:pStyle w:val="MDPI42tablebody"/>
              <w:jc w:val="left"/>
              <w:rPr>
                <w:sz w:val="16"/>
                <w:szCs w:val="16"/>
              </w:rPr>
            </w:pPr>
            <w:r w:rsidRPr="00CF519D">
              <w:rPr>
                <w:sz w:val="16"/>
                <w:szCs w:val="16"/>
              </w:rPr>
              <w:t>Silent reading, oral reading, listening only, TTS without highlighting, and TTS with highlighting</w:t>
            </w:r>
          </w:p>
        </w:tc>
        <w:tc>
          <w:tcPr>
            <w:tcW w:w="6600" w:type="dxa"/>
            <w:tcMar>
              <w:top w:w="30" w:type="dxa"/>
              <w:left w:w="60" w:type="dxa"/>
              <w:bottom w:w="30" w:type="dxa"/>
              <w:right w:w="60" w:type="dxa"/>
            </w:tcMar>
          </w:tcPr>
          <w:p w14:paraId="755DD3C0" w14:textId="77777777" w:rsidR="006708D4" w:rsidRPr="00CF519D" w:rsidRDefault="006708D4" w:rsidP="00A41B6F">
            <w:pPr>
              <w:pStyle w:val="MDPI42tablebody"/>
              <w:jc w:val="left"/>
              <w:rPr>
                <w:sz w:val="16"/>
                <w:szCs w:val="16"/>
              </w:rPr>
            </w:pPr>
            <w:r>
              <w:t>Multiple-choice reading comprehension.</w:t>
            </w:r>
            <w:r>
              <w:br/>
              <w:t>Both TTS conditions produced higher comprehension than silent reading; synchronised highlighting did not improve comprehension beyond TTS alone. Only the dyslexia-only subgroup had a statistically significant within-subgroup result; between-profile heterogeneity was not established.</w:t>
            </w:r>
          </w:p>
        </w:tc>
      </w:tr>
      <w:tr w:rsidR="006708D4" w:rsidRPr="00CF519D" w14:paraId="6E53436B" w14:textId="77777777" w:rsidTr="00A41B6F">
        <w:trPr>
          <w:jc w:val="center"/>
        </w:trPr>
        <w:tc>
          <w:tcPr>
            <w:tcW w:w="2300" w:type="dxa"/>
            <w:tcMar>
              <w:top w:w="30" w:type="dxa"/>
              <w:left w:w="60" w:type="dxa"/>
              <w:bottom w:w="30" w:type="dxa"/>
              <w:right w:w="60" w:type="dxa"/>
            </w:tcMar>
          </w:tcPr>
          <w:p w14:paraId="03E86B95" w14:textId="77777777" w:rsidR="006708D4" w:rsidRPr="00CF519D" w:rsidRDefault="006708D4" w:rsidP="00A41B6F">
            <w:pPr>
              <w:pStyle w:val="MDPI42tablebody"/>
              <w:jc w:val="left"/>
              <w:rPr>
                <w:sz w:val="16"/>
                <w:szCs w:val="16"/>
              </w:rPr>
            </w:pPr>
            <w:r w:rsidRPr="00CF519D">
              <w:rPr>
                <w:sz w:val="16"/>
                <w:szCs w:val="16"/>
              </w:rPr>
              <w:t>[32] Young et al. (2019); USA</w:t>
            </w:r>
          </w:p>
        </w:tc>
        <w:tc>
          <w:tcPr>
            <w:tcW w:w="3100" w:type="dxa"/>
            <w:tcMar>
              <w:top w:w="30" w:type="dxa"/>
              <w:left w:w="60" w:type="dxa"/>
              <w:bottom w:w="30" w:type="dxa"/>
              <w:right w:w="60" w:type="dxa"/>
            </w:tcMar>
          </w:tcPr>
          <w:p w14:paraId="0673EB7B" w14:textId="77777777" w:rsidR="006708D4" w:rsidRPr="00CF519D" w:rsidRDefault="006708D4" w:rsidP="00A41B6F">
            <w:pPr>
              <w:pStyle w:val="MDPI42tablebody"/>
              <w:jc w:val="left"/>
              <w:rPr>
                <w:sz w:val="16"/>
                <w:szCs w:val="16"/>
              </w:rPr>
            </w:pPr>
            <w:r w:rsidRPr="00CF519D">
              <w:rPr>
                <w:sz w:val="16"/>
                <w:szCs w:val="16"/>
              </w:rPr>
              <w:t>A–B–A–B withdrawal single-case study.</w:t>
            </w:r>
          </w:p>
          <w:p w14:paraId="281D7193" w14:textId="77777777" w:rsidR="006708D4" w:rsidRPr="00CF519D" w:rsidRDefault="006708D4" w:rsidP="00A41B6F">
            <w:pPr>
              <w:pStyle w:val="MDPI42tablebody"/>
              <w:jc w:val="left"/>
              <w:rPr>
                <w:sz w:val="16"/>
                <w:szCs w:val="16"/>
              </w:rPr>
            </w:pPr>
            <w:r w:rsidRPr="00CF519D">
              <w:rPr>
                <w:sz w:val="16"/>
                <w:szCs w:val="16"/>
              </w:rPr>
              <w:t>4 secondary students with learning disabilities</w:t>
            </w:r>
          </w:p>
        </w:tc>
        <w:tc>
          <w:tcPr>
            <w:tcW w:w="3300" w:type="dxa"/>
            <w:tcMar>
              <w:top w:w="30" w:type="dxa"/>
              <w:left w:w="60" w:type="dxa"/>
              <w:bottom w:w="30" w:type="dxa"/>
              <w:right w:w="60" w:type="dxa"/>
            </w:tcMar>
          </w:tcPr>
          <w:p w14:paraId="0C9AEE78" w14:textId="77777777" w:rsidR="006708D4" w:rsidRPr="00CF519D" w:rsidRDefault="006708D4" w:rsidP="00A41B6F">
            <w:pPr>
              <w:pStyle w:val="MDPI42tablebody"/>
              <w:jc w:val="left"/>
              <w:rPr>
                <w:sz w:val="16"/>
                <w:szCs w:val="16"/>
              </w:rPr>
            </w:pPr>
            <w:r w:rsidRPr="00CF519D">
              <w:rPr>
                <w:sz w:val="16"/>
                <w:szCs w:val="16"/>
              </w:rPr>
              <w:t>TTS-supported versus unsupported reading of instructional passages</w:t>
            </w:r>
          </w:p>
        </w:tc>
        <w:tc>
          <w:tcPr>
            <w:tcW w:w="6600" w:type="dxa"/>
            <w:tcMar>
              <w:top w:w="30" w:type="dxa"/>
              <w:left w:w="60" w:type="dxa"/>
              <w:bottom w:w="30" w:type="dxa"/>
              <w:right w:w="60" w:type="dxa"/>
            </w:tcMar>
          </w:tcPr>
          <w:p w14:paraId="2EBB31CF" w14:textId="77777777" w:rsidR="006708D4" w:rsidRPr="00CF519D" w:rsidRDefault="006708D4" w:rsidP="00A41B6F">
            <w:pPr>
              <w:pStyle w:val="MDPI42tablebody"/>
              <w:jc w:val="left"/>
              <w:rPr>
                <w:sz w:val="16"/>
                <w:szCs w:val="16"/>
              </w:rPr>
            </w:pPr>
            <w:r w:rsidRPr="00CF519D">
              <w:rPr>
                <w:sz w:val="16"/>
                <w:szCs w:val="16"/>
              </w:rPr>
              <w:t>Reading comprehension, oral reading fluency, Lexile score, and 4-week maintenance.</w:t>
            </w:r>
          </w:p>
          <w:p w14:paraId="5E729F39" w14:textId="77777777" w:rsidR="006708D4" w:rsidRPr="00CF519D" w:rsidRDefault="006708D4" w:rsidP="00A41B6F">
            <w:pPr>
              <w:pStyle w:val="MDPI42tablebody"/>
              <w:jc w:val="left"/>
              <w:rPr>
                <w:sz w:val="16"/>
                <w:szCs w:val="16"/>
              </w:rPr>
            </w:pPr>
            <w:r w:rsidRPr="00CF519D">
              <w:rPr>
                <w:sz w:val="16"/>
                <w:szCs w:val="16"/>
              </w:rPr>
              <w:t>All four students scored higher on comprehension in TTS phases and maintained comprehension gains for 4 weeks. Oral reading fluency increased by the end of accommodation phases; two of four increased Lexile scores.</w:t>
            </w:r>
          </w:p>
        </w:tc>
      </w:tr>
      <w:tr w:rsidR="006708D4" w:rsidRPr="00CF519D" w14:paraId="658A6D18" w14:textId="77777777" w:rsidTr="00A41B6F">
        <w:trPr>
          <w:jc w:val="center"/>
        </w:trPr>
        <w:tc>
          <w:tcPr>
            <w:tcW w:w="2300" w:type="dxa"/>
            <w:tcMar>
              <w:top w:w="30" w:type="dxa"/>
              <w:left w:w="60" w:type="dxa"/>
              <w:bottom w:w="30" w:type="dxa"/>
              <w:right w:w="60" w:type="dxa"/>
            </w:tcMar>
          </w:tcPr>
          <w:p w14:paraId="0B4E476D" w14:textId="77777777" w:rsidR="006708D4" w:rsidRPr="00CF519D" w:rsidRDefault="006708D4" w:rsidP="00A41B6F">
            <w:pPr>
              <w:pStyle w:val="MDPI42tablebody"/>
              <w:jc w:val="left"/>
              <w:rPr>
                <w:sz w:val="16"/>
                <w:szCs w:val="16"/>
              </w:rPr>
            </w:pPr>
            <w:r w:rsidRPr="00CF519D">
              <w:rPr>
                <w:sz w:val="16"/>
                <w:szCs w:val="16"/>
              </w:rPr>
              <w:t>[33] Sulaimon and Schaefer (2023); USA</w:t>
            </w:r>
          </w:p>
        </w:tc>
        <w:tc>
          <w:tcPr>
            <w:tcW w:w="3100" w:type="dxa"/>
            <w:tcMar>
              <w:top w:w="30" w:type="dxa"/>
              <w:left w:w="60" w:type="dxa"/>
              <w:bottom w:w="30" w:type="dxa"/>
              <w:right w:w="60" w:type="dxa"/>
            </w:tcMar>
          </w:tcPr>
          <w:p w14:paraId="5516D545" w14:textId="77777777" w:rsidR="006708D4" w:rsidRPr="00CF519D" w:rsidRDefault="006708D4" w:rsidP="00A41B6F">
            <w:pPr>
              <w:pStyle w:val="MDPI42tablebody"/>
              <w:jc w:val="left"/>
              <w:rPr>
                <w:sz w:val="16"/>
                <w:szCs w:val="16"/>
              </w:rPr>
            </w:pPr>
            <w:r w:rsidRPr="00CF519D">
              <w:rPr>
                <w:sz w:val="16"/>
                <w:szCs w:val="16"/>
              </w:rPr>
              <w:t>A–B–A–B withdrawal single-case study.</w:t>
            </w:r>
          </w:p>
          <w:p w14:paraId="6800AC81" w14:textId="77777777" w:rsidR="006708D4" w:rsidRPr="00CF519D" w:rsidRDefault="006708D4" w:rsidP="00A41B6F">
            <w:pPr>
              <w:pStyle w:val="MDPI42tablebody"/>
              <w:jc w:val="left"/>
              <w:rPr>
                <w:sz w:val="16"/>
                <w:szCs w:val="16"/>
              </w:rPr>
            </w:pPr>
            <w:r w:rsidRPr="00CF519D">
              <w:rPr>
                <w:sz w:val="16"/>
                <w:szCs w:val="16"/>
              </w:rPr>
              <w:t>2 fourth-grade students with learning disabilities</w:t>
            </w:r>
          </w:p>
        </w:tc>
        <w:tc>
          <w:tcPr>
            <w:tcW w:w="3300" w:type="dxa"/>
            <w:tcMar>
              <w:top w:w="30" w:type="dxa"/>
              <w:left w:w="60" w:type="dxa"/>
              <w:bottom w:w="30" w:type="dxa"/>
              <w:right w:w="60" w:type="dxa"/>
            </w:tcMar>
          </w:tcPr>
          <w:p w14:paraId="7CE6B50A" w14:textId="77777777" w:rsidR="006708D4" w:rsidRPr="00CF519D" w:rsidRDefault="006708D4" w:rsidP="00A41B6F">
            <w:pPr>
              <w:pStyle w:val="MDPI42tablebody"/>
              <w:jc w:val="left"/>
              <w:rPr>
                <w:sz w:val="16"/>
                <w:szCs w:val="16"/>
              </w:rPr>
            </w:pPr>
            <w:proofErr w:type="spellStart"/>
            <w:r w:rsidRPr="00CF519D">
              <w:rPr>
                <w:sz w:val="16"/>
                <w:szCs w:val="16"/>
              </w:rPr>
              <w:t>Read&amp;Write</w:t>
            </w:r>
            <w:proofErr w:type="spellEnd"/>
            <w:r w:rsidRPr="00CF519D">
              <w:rPr>
                <w:sz w:val="16"/>
                <w:szCs w:val="16"/>
              </w:rPr>
              <w:t xml:space="preserve"> Gold 11 TTS versus unsupported reading</w:t>
            </w:r>
          </w:p>
        </w:tc>
        <w:tc>
          <w:tcPr>
            <w:tcW w:w="6600" w:type="dxa"/>
            <w:tcMar>
              <w:top w:w="30" w:type="dxa"/>
              <w:left w:w="60" w:type="dxa"/>
              <w:bottom w:w="30" w:type="dxa"/>
              <w:right w:w="60" w:type="dxa"/>
            </w:tcMar>
          </w:tcPr>
          <w:p w14:paraId="39BC3B37" w14:textId="77777777" w:rsidR="006708D4" w:rsidRPr="00CF519D" w:rsidRDefault="006708D4" w:rsidP="00A41B6F">
            <w:pPr>
              <w:pStyle w:val="MDPI42tablebody"/>
              <w:jc w:val="left"/>
              <w:rPr>
                <w:sz w:val="16"/>
                <w:szCs w:val="16"/>
              </w:rPr>
            </w:pPr>
            <w:r w:rsidRPr="00CF519D">
              <w:rPr>
                <w:sz w:val="16"/>
                <w:szCs w:val="16"/>
              </w:rPr>
              <w:t>Percentage of 10 comprehension questions answered correctly; usability.</w:t>
            </w:r>
          </w:p>
          <w:p w14:paraId="05388D1E" w14:textId="77777777" w:rsidR="006708D4" w:rsidRPr="00CF519D" w:rsidRDefault="006708D4" w:rsidP="00A41B6F">
            <w:pPr>
              <w:pStyle w:val="MDPI42tablebody"/>
              <w:jc w:val="left"/>
              <w:rPr>
                <w:sz w:val="16"/>
                <w:szCs w:val="16"/>
              </w:rPr>
            </w:pPr>
            <w:r w:rsidRPr="00CF519D">
              <w:rPr>
                <w:sz w:val="16"/>
                <w:szCs w:val="16"/>
              </w:rPr>
              <w:t>For one participant, phase means were 42%, 80%, 43%, and 73%; for the other, 40%, 73%, 23%, and 73% across A1, B1, A2, and B2, respectively. Both rated the software as easy to use.</w:t>
            </w:r>
          </w:p>
        </w:tc>
      </w:tr>
      <w:tr w:rsidR="006708D4" w:rsidRPr="00CF519D" w14:paraId="33D90562" w14:textId="77777777" w:rsidTr="00A41B6F">
        <w:trPr>
          <w:jc w:val="center"/>
        </w:trPr>
        <w:tc>
          <w:tcPr>
            <w:tcW w:w="2300" w:type="dxa"/>
            <w:tcMar>
              <w:top w:w="30" w:type="dxa"/>
              <w:left w:w="60" w:type="dxa"/>
              <w:bottom w:w="30" w:type="dxa"/>
              <w:right w:w="60" w:type="dxa"/>
            </w:tcMar>
          </w:tcPr>
          <w:p w14:paraId="0A883093" w14:textId="77777777" w:rsidR="006708D4" w:rsidRPr="00CF519D" w:rsidRDefault="006708D4" w:rsidP="00A41B6F">
            <w:pPr>
              <w:pStyle w:val="MDPI42tablebody"/>
              <w:jc w:val="left"/>
              <w:rPr>
                <w:sz w:val="16"/>
                <w:szCs w:val="16"/>
              </w:rPr>
            </w:pPr>
            <w:r w:rsidRPr="00CF519D">
              <w:rPr>
                <w:sz w:val="16"/>
                <w:szCs w:val="16"/>
              </w:rPr>
              <w:t>[34] Schmitt et al. (2019); USA</w:t>
            </w:r>
          </w:p>
        </w:tc>
        <w:tc>
          <w:tcPr>
            <w:tcW w:w="3100" w:type="dxa"/>
            <w:tcMar>
              <w:top w:w="30" w:type="dxa"/>
              <w:left w:w="60" w:type="dxa"/>
              <w:bottom w:w="30" w:type="dxa"/>
              <w:right w:w="60" w:type="dxa"/>
            </w:tcMar>
          </w:tcPr>
          <w:p w14:paraId="25BC3EBC" w14:textId="77777777" w:rsidR="006708D4" w:rsidRPr="00CF519D" w:rsidRDefault="006708D4" w:rsidP="00A41B6F">
            <w:pPr>
              <w:pStyle w:val="MDPI42tablebody"/>
              <w:jc w:val="left"/>
              <w:rPr>
                <w:sz w:val="16"/>
                <w:szCs w:val="16"/>
              </w:rPr>
            </w:pPr>
            <w:r w:rsidRPr="00CF519D">
              <w:rPr>
                <w:sz w:val="16"/>
                <w:szCs w:val="16"/>
              </w:rPr>
              <w:t>Adapted alternating-treatments single-case study.</w:t>
            </w:r>
          </w:p>
          <w:p w14:paraId="41BF8924" w14:textId="77777777" w:rsidR="006708D4" w:rsidRPr="00CF519D" w:rsidRDefault="006708D4" w:rsidP="00A41B6F">
            <w:pPr>
              <w:pStyle w:val="MDPI42tablebody"/>
              <w:jc w:val="left"/>
              <w:rPr>
                <w:sz w:val="16"/>
                <w:szCs w:val="16"/>
              </w:rPr>
            </w:pPr>
            <w:r w:rsidRPr="00CF519D">
              <w:rPr>
                <w:sz w:val="16"/>
                <w:szCs w:val="16"/>
              </w:rPr>
              <w:t>4 middle-school students with reading learning disabilities</w:t>
            </w:r>
          </w:p>
        </w:tc>
        <w:tc>
          <w:tcPr>
            <w:tcW w:w="3300" w:type="dxa"/>
            <w:tcMar>
              <w:top w:w="30" w:type="dxa"/>
              <w:left w:w="60" w:type="dxa"/>
              <w:bottom w:w="30" w:type="dxa"/>
              <w:right w:w="60" w:type="dxa"/>
            </w:tcMar>
          </w:tcPr>
          <w:p w14:paraId="6BFCF18F" w14:textId="77777777" w:rsidR="006708D4" w:rsidRPr="00CF519D" w:rsidRDefault="006708D4" w:rsidP="00A41B6F">
            <w:pPr>
              <w:pStyle w:val="MDPI42tablebody"/>
              <w:jc w:val="left"/>
              <w:rPr>
                <w:sz w:val="16"/>
                <w:szCs w:val="16"/>
              </w:rPr>
            </w:pPr>
            <w:r w:rsidRPr="00CF519D">
              <w:rPr>
                <w:sz w:val="16"/>
                <w:szCs w:val="16"/>
              </w:rPr>
              <w:t>Continuous TTS, discontinuous reading-pen TTS, and silent reading</w:t>
            </w:r>
          </w:p>
        </w:tc>
        <w:tc>
          <w:tcPr>
            <w:tcW w:w="6600" w:type="dxa"/>
            <w:tcMar>
              <w:top w:w="30" w:type="dxa"/>
              <w:left w:w="60" w:type="dxa"/>
              <w:bottom w:w="30" w:type="dxa"/>
              <w:right w:w="60" w:type="dxa"/>
            </w:tcMar>
          </w:tcPr>
          <w:p w14:paraId="61CBDFBA" w14:textId="77777777" w:rsidR="006708D4" w:rsidRPr="00CF519D" w:rsidRDefault="006708D4" w:rsidP="00A41B6F">
            <w:pPr>
              <w:pStyle w:val="MDPI42tablebody"/>
              <w:jc w:val="left"/>
              <w:rPr>
                <w:sz w:val="16"/>
                <w:szCs w:val="16"/>
              </w:rPr>
            </w:pPr>
            <w:r w:rsidRPr="00CF519D">
              <w:rPr>
                <w:sz w:val="16"/>
                <w:szCs w:val="16"/>
              </w:rPr>
              <w:t>Reading-comprehension accuracy and rate.</w:t>
            </w:r>
          </w:p>
          <w:p w14:paraId="6552C83F" w14:textId="77777777" w:rsidR="006708D4" w:rsidRPr="00CF519D" w:rsidRDefault="006708D4" w:rsidP="00A41B6F">
            <w:pPr>
              <w:pStyle w:val="MDPI42tablebody"/>
              <w:jc w:val="left"/>
              <w:rPr>
                <w:sz w:val="16"/>
                <w:szCs w:val="16"/>
              </w:rPr>
            </w:pPr>
            <w:r w:rsidRPr="00CF519D">
              <w:rPr>
                <w:sz w:val="16"/>
                <w:szCs w:val="16"/>
              </w:rPr>
              <w:t xml:space="preserve">Continuous TTS produced the strongest performance for three of four students; the fourth performed best with the reading pen. Author-reported, study-specific effect-size indices reached 0.70 for accuracy and 0.99 for rate; the index used was not identified, so these values are not comparable with a </w:t>
            </w:r>
            <w:r w:rsidR="00086E4B" w:rsidRPr="00CF519D">
              <w:rPr>
                <w:sz w:val="16"/>
                <w:szCs w:val="16"/>
              </w:rPr>
              <w:t>standardised</w:t>
            </w:r>
            <w:r w:rsidRPr="00CF519D">
              <w:rPr>
                <w:sz w:val="16"/>
                <w:szCs w:val="16"/>
              </w:rPr>
              <w:t xml:space="preserve"> effect size. Reading-pen TTS produced the lowest comprehension rate for all four participants.</w:t>
            </w:r>
          </w:p>
        </w:tc>
      </w:tr>
      <w:tr w:rsidR="006708D4" w:rsidRPr="00CF519D" w14:paraId="36E2AE84" w14:textId="77777777" w:rsidTr="00A41B6F">
        <w:trPr>
          <w:jc w:val="center"/>
        </w:trPr>
        <w:tc>
          <w:tcPr>
            <w:tcW w:w="2300" w:type="dxa"/>
            <w:tcMar>
              <w:top w:w="30" w:type="dxa"/>
              <w:left w:w="60" w:type="dxa"/>
              <w:bottom w:w="30" w:type="dxa"/>
              <w:right w:w="60" w:type="dxa"/>
            </w:tcMar>
          </w:tcPr>
          <w:p w14:paraId="27B05B0B" w14:textId="77777777" w:rsidR="006708D4" w:rsidRPr="00CF519D" w:rsidRDefault="006708D4" w:rsidP="00A41B6F">
            <w:pPr>
              <w:pStyle w:val="MDPI42tablebody"/>
              <w:jc w:val="left"/>
              <w:rPr>
                <w:sz w:val="16"/>
                <w:szCs w:val="16"/>
              </w:rPr>
            </w:pPr>
            <w:r w:rsidRPr="00CF519D">
              <w:rPr>
                <w:sz w:val="16"/>
                <w:szCs w:val="16"/>
              </w:rPr>
              <w:t>[35] Alqahtani (2023); Saudi Arabia</w:t>
            </w:r>
          </w:p>
        </w:tc>
        <w:tc>
          <w:tcPr>
            <w:tcW w:w="3100" w:type="dxa"/>
            <w:tcMar>
              <w:top w:w="30" w:type="dxa"/>
              <w:left w:w="60" w:type="dxa"/>
              <w:bottom w:w="30" w:type="dxa"/>
              <w:right w:w="60" w:type="dxa"/>
            </w:tcMar>
          </w:tcPr>
          <w:p w14:paraId="33A171B0" w14:textId="77777777" w:rsidR="006708D4" w:rsidRPr="00CF519D" w:rsidRDefault="006708D4" w:rsidP="00A41B6F">
            <w:pPr>
              <w:pStyle w:val="MDPI42tablebody"/>
              <w:jc w:val="left"/>
              <w:rPr>
                <w:sz w:val="16"/>
                <w:szCs w:val="16"/>
              </w:rPr>
            </w:pPr>
            <w:r w:rsidRPr="00CF519D">
              <w:rPr>
                <w:sz w:val="16"/>
                <w:szCs w:val="16"/>
              </w:rPr>
              <w:t>Multiple-baseline plus alternating-treatments single-case study.</w:t>
            </w:r>
          </w:p>
          <w:p w14:paraId="53934BB9" w14:textId="77777777" w:rsidR="006708D4" w:rsidRPr="00CF519D" w:rsidRDefault="006708D4" w:rsidP="00A41B6F">
            <w:pPr>
              <w:pStyle w:val="MDPI42tablebody"/>
              <w:jc w:val="left"/>
              <w:rPr>
                <w:sz w:val="16"/>
                <w:szCs w:val="16"/>
              </w:rPr>
            </w:pPr>
            <w:r w:rsidRPr="00CF519D">
              <w:rPr>
                <w:sz w:val="16"/>
                <w:szCs w:val="16"/>
              </w:rPr>
              <w:t>3 students in grades 3–4 with reading difficulties</w:t>
            </w:r>
          </w:p>
        </w:tc>
        <w:tc>
          <w:tcPr>
            <w:tcW w:w="3300" w:type="dxa"/>
            <w:tcMar>
              <w:top w:w="30" w:type="dxa"/>
              <w:left w:w="60" w:type="dxa"/>
              <w:bottom w:w="30" w:type="dxa"/>
              <w:right w:w="60" w:type="dxa"/>
            </w:tcMar>
          </w:tcPr>
          <w:p w14:paraId="54CCC96E" w14:textId="77777777" w:rsidR="006708D4" w:rsidRPr="00CF519D" w:rsidRDefault="006708D4" w:rsidP="00A41B6F">
            <w:pPr>
              <w:pStyle w:val="MDPI42tablebody"/>
              <w:jc w:val="left"/>
              <w:rPr>
                <w:sz w:val="16"/>
                <w:szCs w:val="16"/>
              </w:rPr>
            </w:pPr>
            <w:r w:rsidRPr="00CF519D">
              <w:rPr>
                <w:sz w:val="16"/>
                <w:szCs w:val="16"/>
              </w:rPr>
              <w:t>iPad TTS plus question generation versus repeated reading plus question generation</w:t>
            </w:r>
          </w:p>
        </w:tc>
        <w:tc>
          <w:tcPr>
            <w:tcW w:w="6600" w:type="dxa"/>
            <w:tcMar>
              <w:top w:w="30" w:type="dxa"/>
              <w:left w:w="60" w:type="dxa"/>
              <w:bottom w:w="30" w:type="dxa"/>
              <w:right w:w="60" w:type="dxa"/>
            </w:tcMar>
          </w:tcPr>
          <w:p w14:paraId="4F5856E7" w14:textId="77777777" w:rsidR="006708D4" w:rsidRPr="00CF519D" w:rsidRDefault="006708D4" w:rsidP="00A41B6F">
            <w:pPr>
              <w:pStyle w:val="MDPI42tablebody"/>
              <w:jc w:val="left"/>
              <w:rPr>
                <w:sz w:val="16"/>
                <w:szCs w:val="16"/>
              </w:rPr>
            </w:pPr>
            <w:r w:rsidRPr="00CF519D">
              <w:rPr>
                <w:sz w:val="16"/>
                <w:szCs w:val="16"/>
              </w:rPr>
              <w:t>Reading comprehension and session duration.</w:t>
            </w:r>
          </w:p>
          <w:p w14:paraId="0B0AC2DF" w14:textId="77777777" w:rsidR="006708D4" w:rsidRPr="00CF519D" w:rsidRDefault="006708D4" w:rsidP="00A41B6F">
            <w:pPr>
              <w:pStyle w:val="MDPI42tablebody"/>
              <w:jc w:val="left"/>
              <w:rPr>
                <w:sz w:val="16"/>
                <w:szCs w:val="16"/>
              </w:rPr>
            </w:pPr>
            <w:r w:rsidRPr="00CF519D">
              <w:rPr>
                <w:sz w:val="16"/>
                <w:szCs w:val="16"/>
              </w:rPr>
              <w:t>Two of three students improved; one showed a small advantage for repeated reading. Mean session duration was 5.45 min with iPad TTS and 12.73 min with repeated reading.</w:t>
            </w:r>
          </w:p>
        </w:tc>
      </w:tr>
      <w:tr w:rsidR="006708D4" w:rsidRPr="00CF519D" w14:paraId="3F15DA0D" w14:textId="77777777" w:rsidTr="00A41B6F">
        <w:trPr>
          <w:jc w:val="center"/>
        </w:trPr>
        <w:tc>
          <w:tcPr>
            <w:tcW w:w="2300" w:type="dxa"/>
            <w:tcMar>
              <w:top w:w="30" w:type="dxa"/>
              <w:left w:w="60" w:type="dxa"/>
              <w:bottom w:w="30" w:type="dxa"/>
              <w:right w:w="60" w:type="dxa"/>
            </w:tcMar>
          </w:tcPr>
          <w:p w14:paraId="314DDF10" w14:textId="77777777" w:rsidR="006708D4" w:rsidRPr="00CF519D" w:rsidRDefault="006708D4" w:rsidP="00A41B6F">
            <w:pPr>
              <w:pStyle w:val="MDPI42tablebody"/>
              <w:jc w:val="left"/>
              <w:rPr>
                <w:sz w:val="16"/>
                <w:szCs w:val="16"/>
              </w:rPr>
            </w:pPr>
            <w:r w:rsidRPr="00CF519D">
              <w:rPr>
                <w:sz w:val="16"/>
                <w:szCs w:val="16"/>
              </w:rPr>
              <w:lastRenderedPageBreak/>
              <w:t xml:space="preserve">[36] </w:t>
            </w:r>
            <w:proofErr w:type="spellStart"/>
            <w:r w:rsidRPr="00CF519D">
              <w:rPr>
                <w:sz w:val="16"/>
                <w:szCs w:val="16"/>
              </w:rPr>
              <w:t>Ebajay</w:t>
            </w:r>
            <w:proofErr w:type="spellEnd"/>
            <w:r w:rsidRPr="00CF519D">
              <w:rPr>
                <w:sz w:val="16"/>
                <w:szCs w:val="16"/>
              </w:rPr>
              <w:t xml:space="preserve"> and Malabo (2026); Philippines</w:t>
            </w:r>
          </w:p>
        </w:tc>
        <w:tc>
          <w:tcPr>
            <w:tcW w:w="3100" w:type="dxa"/>
            <w:tcMar>
              <w:top w:w="30" w:type="dxa"/>
              <w:left w:w="60" w:type="dxa"/>
              <w:bottom w:w="30" w:type="dxa"/>
              <w:right w:w="60" w:type="dxa"/>
            </w:tcMar>
          </w:tcPr>
          <w:p w14:paraId="13732BE0" w14:textId="77777777" w:rsidR="006708D4" w:rsidRPr="00CF519D" w:rsidRDefault="006708D4" w:rsidP="00A41B6F">
            <w:pPr>
              <w:pStyle w:val="MDPI42tablebody"/>
              <w:jc w:val="left"/>
              <w:rPr>
                <w:sz w:val="16"/>
                <w:szCs w:val="16"/>
              </w:rPr>
            </w:pPr>
            <w:r w:rsidRPr="00CF519D">
              <w:rPr>
                <w:sz w:val="16"/>
                <w:szCs w:val="16"/>
              </w:rPr>
              <w:t>Non-equivalent matched-group pretest–posttest study.</w:t>
            </w:r>
          </w:p>
          <w:p w14:paraId="4466F9A8" w14:textId="77777777" w:rsidR="006708D4" w:rsidRPr="00CF519D" w:rsidRDefault="006708D4" w:rsidP="00A41B6F">
            <w:pPr>
              <w:pStyle w:val="MDPI42tablebody"/>
              <w:jc w:val="left"/>
              <w:rPr>
                <w:sz w:val="16"/>
                <w:szCs w:val="16"/>
              </w:rPr>
            </w:pPr>
            <w:r w:rsidRPr="00CF519D">
              <w:rPr>
                <w:sz w:val="16"/>
                <w:szCs w:val="16"/>
              </w:rPr>
              <w:t>20 students with specific learning disabilities in grades 1–5 (10 per group)</w:t>
            </w:r>
          </w:p>
        </w:tc>
        <w:tc>
          <w:tcPr>
            <w:tcW w:w="3300" w:type="dxa"/>
            <w:tcMar>
              <w:top w:w="30" w:type="dxa"/>
              <w:left w:w="60" w:type="dxa"/>
              <w:bottom w:w="30" w:type="dxa"/>
              <w:right w:w="60" w:type="dxa"/>
            </w:tcMar>
          </w:tcPr>
          <w:p w14:paraId="3D846E3C" w14:textId="77777777" w:rsidR="006708D4" w:rsidRPr="00CF519D" w:rsidRDefault="006708D4" w:rsidP="00A41B6F">
            <w:pPr>
              <w:pStyle w:val="MDPI42tablebody"/>
              <w:jc w:val="left"/>
              <w:rPr>
                <w:sz w:val="16"/>
                <w:szCs w:val="16"/>
              </w:rPr>
            </w:pPr>
            <w:proofErr w:type="spellStart"/>
            <w:r w:rsidRPr="00CF519D">
              <w:rPr>
                <w:sz w:val="16"/>
                <w:szCs w:val="16"/>
              </w:rPr>
              <w:t>NaturalReader</w:t>
            </w:r>
            <w:proofErr w:type="spellEnd"/>
            <w:r w:rsidRPr="00CF519D">
              <w:rPr>
                <w:sz w:val="16"/>
                <w:szCs w:val="16"/>
              </w:rPr>
              <w:t>-assisted mathematics instruction for 4 weeks; conventional instruction</w:t>
            </w:r>
          </w:p>
        </w:tc>
        <w:tc>
          <w:tcPr>
            <w:tcW w:w="6600" w:type="dxa"/>
            <w:tcMar>
              <w:top w:w="30" w:type="dxa"/>
              <w:left w:w="60" w:type="dxa"/>
              <w:bottom w:w="30" w:type="dxa"/>
              <w:right w:w="60" w:type="dxa"/>
            </w:tcMar>
          </w:tcPr>
          <w:p w14:paraId="1C85C339" w14:textId="77777777" w:rsidR="006708D4" w:rsidRPr="00CF519D" w:rsidRDefault="006708D4" w:rsidP="00A41B6F">
            <w:pPr>
              <w:pStyle w:val="MDPI42tablebody"/>
              <w:jc w:val="left"/>
              <w:rPr>
                <w:sz w:val="16"/>
                <w:szCs w:val="16"/>
              </w:rPr>
            </w:pPr>
            <w:r w:rsidRPr="00CF519D">
              <w:rPr>
                <w:sz w:val="16"/>
                <w:szCs w:val="16"/>
              </w:rPr>
              <w:t>Researcher-reported mathematics achievement.</w:t>
            </w:r>
          </w:p>
          <w:p w14:paraId="529F29DD" w14:textId="77777777" w:rsidR="006708D4" w:rsidRPr="00CF519D" w:rsidRDefault="006708D4" w:rsidP="00A41B6F">
            <w:pPr>
              <w:pStyle w:val="MDPI42tablebody"/>
              <w:jc w:val="left"/>
              <w:rPr>
                <w:sz w:val="16"/>
                <w:szCs w:val="16"/>
              </w:rPr>
            </w:pPr>
            <w:r w:rsidRPr="00CF519D">
              <w:rPr>
                <w:sz w:val="16"/>
                <w:szCs w:val="16"/>
              </w:rPr>
              <w:t xml:space="preserve">The adjusted posttest group effect was </w:t>
            </w:r>
            <w:proofErr w:type="gramStart"/>
            <w:r w:rsidRPr="00CF519D">
              <w:rPr>
                <w:sz w:val="16"/>
                <w:szCs w:val="16"/>
              </w:rPr>
              <w:t>F(</w:t>
            </w:r>
            <w:proofErr w:type="gramEnd"/>
            <w:r w:rsidRPr="00CF519D">
              <w:rPr>
                <w:sz w:val="16"/>
                <w:szCs w:val="16"/>
              </w:rPr>
              <w:t>1,17) = 42.226, p &lt; 0.001, partial η² = 0.713. The article reports inconsistent posttest SDs for the TTS group, so those SDs were not reproduced here.</w:t>
            </w:r>
          </w:p>
        </w:tc>
      </w:tr>
      <w:tr w:rsidR="006708D4" w:rsidRPr="00CF519D" w14:paraId="73C1CF62" w14:textId="77777777" w:rsidTr="00A41B6F">
        <w:trPr>
          <w:jc w:val="center"/>
        </w:trPr>
        <w:tc>
          <w:tcPr>
            <w:tcW w:w="2300" w:type="dxa"/>
            <w:tcMar>
              <w:top w:w="30" w:type="dxa"/>
              <w:left w:w="60" w:type="dxa"/>
              <w:bottom w:w="30" w:type="dxa"/>
              <w:right w:w="60" w:type="dxa"/>
            </w:tcMar>
          </w:tcPr>
          <w:p w14:paraId="445B0B99" w14:textId="77777777" w:rsidR="006708D4" w:rsidRPr="00CF519D" w:rsidRDefault="006708D4" w:rsidP="00A41B6F">
            <w:pPr>
              <w:pStyle w:val="MDPI42tablebody"/>
              <w:jc w:val="left"/>
              <w:rPr>
                <w:sz w:val="16"/>
                <w:szCs w:val="16"/>
              </w:rPr>
            </w:pPr>
            <w:r>
              <w:t>[37] Nuraini Herawati et al. (2022); Indonesia</w:t>
            </w:r>
          </w:p>
        </w:tc>
        <w:tc>
          <w:tcPr>
            <w:tcW w:w="3100" w:type="dxa"/>
            <w:tcMar>
              <w:top w:w="30" w:type="dxa"/>
              <w:left w:w="60" w:type="dxa"/>
              <w:bottom w:w="30" w:type="dxa"/>
              <w:right w:w="60" w:type="dxa"/>
            </w:tcMar>
          </w:tcPr>
          <w:p w14:paraId="73D8D57B" w14:textId="77777777" w:rsidR="006708D4" w:rsidRPr="00CF519D" w:rsidRDefault="006708D4" w:rsidP="00A41B6F">
            <w:pPr>
              <w:pStyle w:val="MDPI42tablebody"/>
              <w:jc w:val="left"/>
              <w:rPr>
                <w:sz w:val="16"/>
                <w:szCs w:val="16"/>
              </w:rPr>
            </w:pPr>
            <w:r w:rsidRPr="00CF519D">
              <w:rPr>
                <w:sz w:val="16"/>
                <w:szCs w:val="16"/>
              </w:rPr>
              <w:t>A–B–A single-case study.</w:t>
            </w:r>
          </w:p>
          <w:p w14:paraId="6082B4E9" w14:textId="77777777" w:rsidR="006708D4" w:rsidRPr="00CF519D" w:rsidRDefault="006708D4" w:rsidP="00A41B6F">
            <w:pPr>
              <w:pStyle w:val="MDPI42tablebody"/>
              <w:jc w:val="left"/>
              <w:rPr>
                <w:sz w:val="16"/>
                <w:szCs w:val="16"/>
              </w:rPr>
            </w:pPr>
            <w:r w:rsidRPr="00CF519D">
              <w:rPr>
                <w:sz w:val="16"/>
                <w:szCs w:val="16"/>
              </w:rPr>
              <w:t>1 second-grade learner with ADHD</w:t>
            </w:r>
          </w:p>
        </w:tc>
        <w:tc>
          <w:tcPr>
            <w:tcW w:w="3300" w:type="dxa"/>
            <w:tcMar>
              <w:top w:w="30" w:type="dxa"/>
              <w:left w:w="60" w:type="dxa"/>
              <w:bottom w:w="30" w:type="dxa"/>
              <w:right w:w="60" w:type="dxa"/>
            </w:tcMar>
          </w:tcPr>
          <w:p w14:paraId="116337C6" w14:textId="77777777" w:rsidR="006708D4" w:rsidRPr="00CF519D" w:rsidRDefault="006708D4" w:rsidP="00A41B6F">
            <w:pPr>
              <w:pStyle w:val="MDPI42tablebody"/>
              <w:jc w:val="left"/>
              <w:rPr>
                <w:sz w:val="16"/>
                <w:szCs w:val="16"/>
              </w:rPr>
            </w:pPr>
            <w:r w:rsidRPr="00CF519D">
              <w:rPr>
                <w:sz w:val="16"/>
                <w:szCs w:val="16"/>
              </w:rPr>
              <w:t>TTS-supported e-learning versus unsupported baseline phases</w:t>
            </w:r>
          </w:p>
        </w:tc>
        <w:tc>
          <w:tcPr>
            <w:tcW w:w="6600" w:type="dxa"/>
            <w:tcMar>
              <w:top w:w="30" w:type="dxa"/>
              <w:left w:w="60" w:type="dxa"/>
              <w:bottom w:w="30" w:type="dxa"/>
              <w:right w:w="60" w:type="dxa"/>
            </w:tcMar>
          </w:tcPr>
          <w:p w14:paraId="265F5457" w14:textId="77777777" w:rsidR="006708D4" w:rsidRPr="00CF519D" w:rsidRDefault="006708D4" w:rsidP="00A41B6F">
            <w:pPr>
              <w:pStyle w:val="MDPI42tablebody"/>
              <w:jc w:val="left"/>
              <w:rPr>
                <w:sz w:val="16"/>
                <w:szCs w:val="16"/>
              </w:rPr>
            </w:pPr>
            <w:r w:rsidRPr="00CF519D">
              <w:rPr>
                <w:sz w:val="16"/>
                <w:szCs w:val="16"/>
              </w:rPr>
              <w:t>Reading/spelling and pronunciation-related performance.</w:t>
            </w:r>
          </w:p>
          <w:p w14:paraId="323343EE" w14:textId="77777777" w:rsidR="006708D4" w:rsidRPr="00CF519D" w:rsidRDefault="006708D4" w:rsidP="00A41B6F">
            <w:pPr>
              <w:pStyle w:val="MDPI42tablebody"/>
              <w:jc w:val="left"/>
              <w:rPr>
                <w:sz w:val="16"/>
                <w:szCs w:val="16"/>
              </w:rPr>
            </w:pPr>
            <w:r w:rsidRPr="00CF519D">
              <w:rPr>
                <w:sz w:val="16"/>
                <w:szCs w:val="16"/>
              </w:rPr>
              <w:t>The report described higher performance during the intervention phase; however, the outcome scale and phase-level numerical reporting were insufficiently clear for a reliable effect estimate.</w:t>
            </w:r>
          </w:p>
        </w:tc>
      </w:tr>
      <w:tr w:rsidR="006708D4" w:rsidRPr="00CF519D" w14:paraId="4D413BAB" w14:textId="77777777" w:rsidTr="00A41B6F">
        <w:trPr>
          <w:jc w:val="center"/>
        </w:trPr>
        <w:tc>
          <w:tcPr>
            <w:tcW w:w="2300" w:type="dxa"/>
            <w:tcMar>
              <w:top w:w="30" w:type="dxa"/>
              <w:left w:w="60" w:type="dxa"/>
              <w:bottom w:w="30" w:type="dxa"/>
              <w:right w:w="60" w:type="dxa"/>
            </w:tcMar>
          </w:tcPr>
          <w:p w14:paraId="6D3DDF34" w14:textId="77777777" w:rsidR="006708D4" w:rsidRPr="00CF519D" w:rsidRDefault="006708D4" w:rsidP="00A41B6F">
            <w:pPr>
              <w:pStyle w:val="MDPI42tablebody"/>
              <w:jc w:val="left"/>
              <w:rPr>
                <w:sz w:val="16"/>
                <w:szCs w:val="16"/>
              </w:rPr>
            </w:pPr>
            <w:r w:rsidRPr="00CF519D">
              <w:rPr>
                <w:sz w:val="16"/>
                <w:szCs w:val="16"/>
              </w:rPr>
              <w:t>[38] McCarthy et al. (2016); USA</w:t>
            </w:r>
          </w:p>
        </w:tc>
        <w:tc>
          <w:tcPr>
            <w:tcW w:w="3100" w:type="dxa"/>
            <w:tcMar>
              <w:top w:w="30" w:type="dxa"/>
              <w:left w:w="60" w:type="dxa"/>
              <w:bottom w:w="30" w:type="dxa"/>
              <w:right w:w="60" w:type="dxa"/>
            </w:tcMar>
          </w:tcPr>
          <w:p w14:paraId="79A8D0CA" w14:textId="77777777" w:rsidR="006708D4" w:rsidRPr="00CF519D" w:rsidRDefault="006708D4" w:rsidP="00A41B6F">
            <w:pPr>
              <w:pStyle w:val="MDPI42tablebody"/>
              <w:jc w:val="left"/>
              <w:rPr>
                <w:sz w:val="16"/>
                <w:szCs w:val="16"/>
              </w:rPr>
            </w:pPr>
            <w:r w:rsidRPr="00CF519D">
              <w:rPr>
                <w:sz w:val="16"/>
                <w:szCs w:val="16"/>
              </w:rPr>
              <w:t>Adapted alternating-treatments/crossover single-case study with mixed-methods components.</w:t>
            </w:r>
          </w:p>
          <w:p w14:paraId="5C5EBBCF" w14:textId="77777777" w:rsidR="006708D4" w:rsidRPr="00CF519D" w:rsidRDefault="006708D4" w:rsidP="00A41B6F">
            <w:pPr>
              <w:pStyle w:val="MDPI42tablebody"/>
              <w:jc w:val="left"/>
              <w:rPr>
                <w:sz w:val="16"/>
                <w:szCs w:val="16"/>
              </w:rPr>
            </w:pPr>
            <w:r w:rsidRPr="00CF519D">
              <w:rPr>
                <w:sz w:val="16"/>
                <w:szCs w:val="16"/>
              </w:rPr>
              <w:t>10 Braille learners with visual impairment, age 4 years 11 months to 14 years 11 months; 7 teachers</w:t>
            </w:r>
          </w:p>
        </w:tc>
        <w:tc>
          <w:tcPr>
            <w:tcW w:w="3300" w:type="dxa"/>
            <w:tcMar>
              <w:top w:w="30" w:type="dxa"/>
              <w:left w:w="60" w:type="dxa"/>
              <w:bottom w:w="30" w:type="dxa"/>
              <w:right w:w="60" w:type="dxa"/>
            </w:tcMar>
          </w:tcPr>
          <w:p w14:paraId="3957D9BA" w14:textId="77777777" w:rsidR="006708D4" w:rsidRPr="00CF519D" w:rsidRDefault="006708D4" w:rsidP="00A41B6F">
            <w:pPr>
              <w:pStyle w:val="MDPI42tablebody"/>
              <w:jc w:val="left"/>
              <w:rPr>
                <w:sz w:val="16"/>
                <w:szCs w:val="16"/>
              </w:rPr>
            </w:pPr>
            <w:r w:rsidRPr="00CF519D">
              <w:rPr>
                <w:sz w:val="16"/>
                <w:szCs w:val="16"/>
              </w:rPr>
              <w:t>Teacher instruction plus adaptive AI Braille Tutor versus teacher instruction alone, using different contraction sets within learners</w:t>
            </w:r>
          </w:p>
        </w:tc>
        <w:tc>
          <w:tcPr>
            <w:tcW w:w="6600" w:type="dxa"/>
            <w:tcMar>
              <w:top w:w="30" w:type="dxa"/>
              <w:left w:w="60" w:type="dxa"/>
              <w:bottom w:w="30" w:type="dxa"/>
              <w:right w:w="60" w:type="dxa"/>
            </w:tcMar>
          </w:tcPr>
          <w:p w14:paraId="7A489320" w14:textId="77777777" w:rsidR="006708D4" w:rsidRPr="00CF519D" w:rsidRDefault="006708D4" w:rsidP="00A41B6F">
            <w:pPr>
              <w:pStyle w:val="MDPI42tablebody"/>
              <w:jc w:val="left"/>
              <w:rPr>
                <w:sz w:val="16"/>
                <w:szCs w:val="16"/>
              </w:rPr>
            </w:pPr>
            <w:r>
              <w:t>Sessions to 100% mastery of Braille contractions; contraction acquisition; usability.</w:t>
            </w:r>
            <w:r>
              <w:br/>
              <w:t>Mean sessions to mastery were 7.00 (range 1–12) with Tutor support and 9.58 (range 3–16) with teacher-only instruction. The authors characterised this as a trend; the study was not powered for a confirmatory comparison, and different contraction sets were used in the two conditions.</w:t>
            </w:r>
          </w:p>
        </w:tc>
      </w:tr>
      <w:tr w:rsidR="006708D4" w:rsidRPr="00CF519D" w14:paraId="414739E1" w14:textId="77777777" w:rsidTr="00A41B6F">
        <w:trPr>
          <w:jc w:val="center"/>
        </w:trPr>
        <w:tc>
          <w:tcPr>
            <w:tcW w:w="2300" w:type="dxa"/>
            <w:tcMar>
              <w:top w:w="30" w:type="dxa"/>
              <w:left w:w="60" w:type="dxa"/>
              <w:bottom w:w="30" w:type="dxa"/>
              <w:right w:w="60" w:type="dxa"/>
            </w:tcMar>
          </w:tcPr>
          <w:p w14:paraId="5A9AF180" w14:textId="77777777" w:rsidR="006708D4" w:rsidRPr="00CF519D" w:rsidRDefault="006708D4" w:rsidP="00A41B6F">
            <w:pPr>
              <w:pStyle w:val="MDPI42tablebody"/>
              <w:jc w:val="left"/>
              <w:rPr>
                <w:sz w:val="16"/>
                <w:szCs w:val="16"/>
              </w:rPr>
            </w:pPr>
            <w:r>
              <w:t>[39] Svensson et al. (2026); Sweden</w:t>
            </w:r>
          </w:p>
        </w:tc>
        <w:tc>
          <w:tcPr>
            <w:tcW w:w="3100" w:type="dxa"/>
            <w:tcMar>
              <w:top w:w="30" w:type="dxa"/>
              <w:left w:w="60" w:type="dxa"/>
              <w:bottom w:w="30" w:type="dxa"/>
              <w:right w:w="60" w:type="dxa"/>
            </w:tcMar>
          </w:tcPr>
          <w:p w14:paraId="052FA84D" w14:textId="77777777" w:rsidR="006708D4" w:rsidRPr="00CF519D" w:rsidRDefault="006708D4" w:rsidP="00A41B6F">
            <w:pPr>
              <w:pStyle w:val="MDPI42tablebody"/>
              <w:jc w:val="left"/>
              <w:rPr>
                <w:sz w:val="16"/>
                <w:szCs w:val="16"/>
              </w:rPr>
            </w:pPr>
            <w:r w:rsidRPr="00CF519D">
              <w:rPr>
                <w:sz w:val="16"/>
                <w:szCs w:val="16"/>
              </w:rPr>
              <w:t>Time-lagged A–B single-case study with follow-up.</w:t>
            </w:r>
          </w:p>
          <w:p w14:paraId="10583B90" w14:textId="77777777" w:rsidR="006708D4" w:rsidRPr="00CF519D" w:rsidRDefault="006708D4" w:rsidP="00A41B6F">
            <w:pPr>
              <w:pStyle w:val="MDPI42tablebody"/>
              <w:jc w:val="left"/>
              <w:rPr>
                <w:sz w:val="16"/>
                <w:szCs w:val="16"/>
              </w:rPr>
            </w:pPr>
            <w:r w:rsidRPr="00CF519D">
              <w:rPr>
                <w:sz w:val="16"/>
                <w:szCs w:val="16"/>
              </w:rPr>
              <w:t>8 learners with mild intellectual disability, 11–14 years</w:t>
            </w:r>
          </w:p>
        </w:tc>
        <w:tc>
          <w:tcPr>
            <w:tcW w:w="3300" w:type="dxa"/>
            <w:tcMar>
              <w:top w:w="30" w:type="dxa"/>
              <w:left w:w="60" w:type="dxa"/>
              <w:bottom w:w="30" w:type="dxa"/>
              <w:right w:w="60" w:type="dxa"/>
            </w:tcMar>
          </w:tcPr>
          <w:p w14:paraId="23F1AF86" w14:textId="77777777" w:rsidR="006708D4" w:rsidRPr="00CF519D" w:rsidRDefault="006708D4" w:rsidP="00A41B6F">
            <w:pPr>
              <w:pStyle w:val="MDPI42tablebody"/>
              <w:jc w:val="left"/>
              <w:rPr>
                <w:sz w:val="16"/>
                <w:szCs w:val="16"/>
              </w:rPr>
            </w:pPr>
            <w:proofErr w:type="spellStart"/>
            <w:r w:rsidRPr="00CF519D">
              <w:rPr>
                <w:sz w:val="16"/>
                <w:szCs w:val="16"/>
              </w:rPr>
              <w:t>ClaroSpeak</w:t>
            </w:r>
            <w:proofErr w:type="spellEnd"/>
            <w:r w:rsidRPr="00CF519D">
              <w:rPr>
                <w:sz w:val="16"/>
                <w:szCs w:val="16"/>
              </w:rPr>
              <w:t xml:space="preserve"> Plus TTS; usually 4 baseline and 12 intervention sessions. According to the participant table, five of the eight learners had fewer than four baseline observations (3, 2, 1, 1, and 1), and three completed 11 rather than 12 intervention sessions; the source narrative states four such learners, and the participant-level value is used throughout this review.</w:t>
            </w:r>
          </w:p>
        </w:tc>
        <w:tc>
          <w:tcPr>
            <w:tcW w:w="6600" w:type="dxa"/>
            <w:tcMar>
              <w:top w:w="30" w:type="dxa"/>
              <w:left w:w="60" w:type="dxa"/>
              <w:bottom w:w="30" w:type="dxa"/>
              <w:right w:w="60" w:type="dxa"/>
            </w:tcMar>
          </w:tcPr>
          <w:p w14:paraId="09E7619A" w14:textId="77777777" w:rsidR="006708D4" w:rsidRPr="00CF519D" w:rsidRDefault="006708D4" w:rsidP="00A41B6F">
            <w:pPr>
              <w:pStyle w:val="MDPI42tablebody"/>
              <w:jc w:val="left"/>
              <w:rPr>
                <w:sz w:val="16"/>
                <w:szCs w:val="16"/>
              </w:rPr>
            </w:pPr>
            <w:r w:rsidRPr="00CF519D">
              <w:rPr>
                <w:sz w:val="16"/>
                <w:szCs w:val="16"/>
              </w:rPr>
              <w:t>Text comprehension, retelling, oral language output, decoding, and approximately 1.5-year follow-up.</w:t>
            </w:r>
          </w:p>
          <w:p w14:paraId="0C981416" w14:textId="77777777" w:rsidR="006708D4" w:rsidRPr="00CF519D" w:rsidRDefault="006708D4" w:rsidP="00A41B6F">
            <w:pPr>
              <w:pStyle w:val="MDPI42tablebody"/>
              <w:jc w:val="left"/>
              <w:rPr>
                <w:sz w:val="16"/>
                <w:szCs w:val="16"/>
              </w:rPr>
            </w:pPr>
            <w:r w:rsidRPr="00CF519D">
              <w:rPr>
                <w:sz w:val="16"/>
                <w:szCs w:val="16"/>
              </w:rPr>
              <w:t>All eight learners comprehended more content while listening than while reading independently; one showed clear improvement in decoding. The A–B structure does not isolate practice, text, and maturation effects.</w:t>
            </w:r>
          </w:p>
        </w:tc>
      </w:tr>
      <w:tr w:rsidR="006708D4" w:rsidRPr="00CF519D" w14:paraId="1EC44818" w14:textId="77777777" w:rsidTr="00A41B6F">
        <w:trPr>
          <w:jc w:val="center"/>
        </w:trPr>
        <w:tc>
          <w:tcPr>
            <w:tcW w:w="2300" w:type="dxa"/>
            <w:tcMar>
              <w:top w:w="30" w:type="dxa"/>
              <w:left w:w="60" w:type="dxa"/>
              <w:bottom w:w="30" w:type="dxa"/>
              <w:right w:w="60" w:type="dxa"/>
            </w:tcMar>
          </w:tcPr>
          <w:p w14:paraId="648434D1" w14:textId="77777777" w:rsidR="006708D4" w:rsidRPr="00CF519D" w:rsidRDefault="006708D4" w:rsidP="00A41B6F">
            <w:pPr>
              <w:pStyle w:val="MDPI42tablebody"/>
              <w:jc w:val="left"/>
              <w:rPr>
                <w:sz w:val="16"/>
                <w:szCs w:val="16"/>
              </w:rPr>
            </w:pPr>
            <w:r w:rsidRPr="00CF519D">
              <w:rPr>
                <w:sz w:val="16"/>
                <w:szCs w:val="16"/>
              </w:rPr>
              <w:t>[40] Chen et al. (2026); Taiwan</w:t>
            </w:r>
          </w:p>
        </w:tc>
        <w:tc>
          <w:tcPr>
            <w:tcW w:w="3100" w:type="dxa"/>
            <w:tcMar>
              <w:top w:w="30" w:type="dxa"/>
              <w:left w:w="60" w:type="dxa"/>
              <w:bottom w:w="30" w:type="dxa"/>
              <w:right w:w="60" w:type="dxa"/>
            </w:tcMar>
          </w:tcPr>
          <w:p w14:paraId="3EEB2C17" w14:textId="77777777" w:rsidR="006708D4" w:rsidRPr="00CF519D" w:rsidRDefault="006708D4" w:rsidP="00A41B6F">
            <w:pPr>
              <w:pStyle w:val="MDPI42tablebody"/>
              <w:jc w:val="left"/>
              <w:rPr>
                <w:sz w:val="16"/>
                <w:szCs w:val="16"/>
              </w:rPr>
            </w:pPr>
            <w:r w:rsidRPr="00CF519D">
              <w:rPr>
                <w:sz w:val="16"/>
                <w:szCs w:val="16"/>
              </w:rPr>
              <w:t>Counterbalanced 3 × 2 mixed-factorial experiment.</w:t>
            </w:r>
          </w:p>
          <w:p w14:paraId="5F0732FD" w14:textId="77777777" w:rsidR="006708D4" w:rsidRPr="00CF519D" w:rsidRDefault="006708D4" w:rsidP="00A41B6F">
            <w:pPr>
              <w:pStyle w:val="MDPI42tablebody"/>
              <w:jc w:val="left"/>
              <w:rPr>
                <w:sz w:val="16"/>
                <w:szCs w:val="16"/>
              </w:rPr>
            </w:pPr>
            <w:r w:rsidRPr="00CF519D">
              <w:rPr>
                <w:sz w:val="16"/>
                <w:szCs w:val="16"/>
              </w:rPr>
              <w:t>59 junior-high students: dyslexia n = 19, ADHD n = 19, typical readers n = 21; eye-tracking analysis n = 47</w:t>
            </w:r>
          </w:p>
        </w:tc>
        <w:tc>
          <w:tcPr>
            <w:tcW w:w="3300" w:type="dxa"/>
            <w:tcMar>
              <w:top w:w="30" w:type="dxa"/>
              <w:left w:w="60" w:type="dxa"/>
              <w:bottom w:w="30" w:type="dxa"/>
              <w:right w:w="60" w:type="dxa"/>
            </w:tcMar>
          </w:tcPr>
          <w:p w14:paraId="323BFC70" w14:textId="77777777" w:rsidR="006708D4" w:rsidRPr="00CF519D" w:rsidRDefault="00086E4B" w:rsidP="00A41B6F">
            <w:pPr>
              <w:pStyle w:val="MDPI42tablebody"/>
              <w:jc w:val="left"/>
              <w:rPr>
                <w:sz w:val="16"/>
                <w:szCs w:val="16"/>
              </w:rPr>
            </w:pPr>
            <w:r w:rsidRPr="00CF519D">
              <w:rPr>
                <w:sz w:val="16"/>
                <w:szCs w:val="16"/>
              </w:rPr>
              <w:t>Synchronised</w:t>
            </w:r>
            <w:r w:rsidR="006708D4" w:rsidRPr="00CF519D">
              <w:rPr>
                <w:sz w:val="16"/>
                <w:szCs w:val="16"/>
              </w:rPr>
              <w:t xml:space="preserve"> TTS plus displayed text versus silent reading</w:t>
            </w:r>
          </w:p>
        </w:tc>
        <w:tc>
          <w:tcPr>
            <w:tcW w:w="6600" w:type="dxa"/>
            <w:tcMar>
              <w:top w:w="30" w:type="dxa"/>
              <w:left w:w="60" w:type="dxa"/>
              <w:bottom w:w="30" w:type="dxa"/>
              <w:right w:w="60" w:type="dxa"/>
            </w:tcMar>
          </w:tcPr>
          <w:p w14:paraId="42501713" w14:textId="77777777" w:rsidR="006708D4" w:rsidRPr="00CF519D" w:rsidRDefault="006708D4" w:rsidP="00A41B6F">
            <w:pPr>
              <w:pStyle w:val="MDPI42tablebody"/>
              <w:jc w:val="left"/>
              <w:rPr>
                <w:sz w:val="16"/>
                <w:szCs w:val="16"/>
              </w:rPr>
            </w:pPr>
            <w:r w:rsidRPr="00CF519D">
              <w:rPr>
                <w:sz w:val="16"/>
                <w:szCs w:val="16"/>
              </w:rPr>
              <w:t>Reading comprehension and eye-tracking measures.</w:t>
            </w:r>
          </w:p>
          <w:p w14:paraId="15920B32" w14:textId="77777777" w:rsidR="006708D4" w:rsidRPr="00CF519D" w:rsidRDefault="006708D4" w:rsidP="00A41B6F">
            <w:pPr>
              <w:pStyle w:val="MDPI42tablebody"/>
              <w:jc w:val="left"/>
              <w:rPr>
                <w:sz w:val="16"/>
                <w:szCs w:val="16"/>
              </w:rPr>
            </w:pPr>
            <w:r w:rsidRPr="00CF519D">
              <w:rPr>
                <w:sz w:val="16"/>
                <w:szCs w:val="16"/>
              </w:rPr>
              <w:t xml:space="preserve">The group-by-condition interaction was </w:t>
            </w:r>
            <w:proofErr w:type="gramStart"/>
            <w:r w:rsidRPr="00CF519D">
              <w:rPr>
                <w:sz w:val="16"/>
                <w:szCs w:val="16"/>
              </w:rPr>
              <w:t>F(</w:t>
            </w:r>
            <w:proofErr w:type="gramEnd"/>
            <w:r w:rsidRPr="00CF519D">
              <w:rPr>
                <w:sz w:val="16"/>
                <w:szCs w:val="16"/>
              </w:rPr>
              <w:t xml:space="preserve">2,56) = 4.29, p &lt; 0.05, η² = 0.13. The ADHD group improved with TTS, </w:t>
            </w:r>
            <w:proofErr w:type="gramStart"/>
            <w:r w:rsidRPr="00CF519D">
              <w:rPr>
                <w:sz w:val="16"/>
                <w:szCs w:val="16"/>
              </w:rPr>
              <w:t>F(</w:t>
            </w:r>
            <w:proofErr w:type="gramEnd"/>
            <w:r w:rsidRPr="00CF519D">
              <w:rPr>
                <w:sz w:val="16"/>
                <w:szCs w:val="16"/>
              </w:rPr>
              <w:t xml:space="preserve">1,18) = 7.00, p &lt; 0.05, η² = 0.28; the dyslexia </w:t>
            </w:r>
            <w:proofErr w:type="gramStart"/>
            <w:r w:rsidRPr="00CF519D">
              <w:rPr>
                <w:sz w:val="16"/>
                <w:szCs w:val="16"/>
              </w:rPr>
              <w:t>group maintained</w:t>
            </w:r>
            <w:proofErr w:type="gramEnd"/>
            <w:r w:rsidRPr="00CF519D">
              <w:rPr>
                <w:sz w:val="16"/>
                <w:szCs w:val="16"/>
              </w:rPr>
              <w:t xml:space="preserve"> comprehension with lower reading time/effort, and typical readers had no comprehension gain.</w:t>
            </w:r>
          </w:p>
        </w:tc>
      </w:tr>
      <w:tr w:rsidR="006708D4" w:rsidRPr="00CF519D" w14:paraId="5476E288" w14:textId="77777777" w:rsidTr="00A41B6F">
        <w:trPr>
          <w:jc w:val="center"/>
        </w:trPr>
        <w:tc>
          <w:tcPr>
            <w:tcW w:w="2300" w:type="dxa"/>
            <w:tcMar>
              <w:top w:w="30" w:type="dxa"/>
              <w:left w:w="60" w:type="dxa"/>
              <w:bottom w:w="30" w:type="dxa"/>
              <w:right w:w="60" w:type="dxa"/>
            </w:tcMar>
          </w:tcPr>
          <w:p w14:paraId="6B0E8CC5" w14:textId="77777777" w:rsidR="006708D4" w:rsidRPr="00CF519D" w:rsidRDefault="006708D4" w:rsidP="00A41B6F">
            <w:pPr>
              <w:pStyle w:val="MDPI42tablebody"/>
              <w:jc w:val="left"/>
              <w:rPr>
                <w:sz w:val="16"/>
                <w:szCs w:val="16"/>
              </w:rPr>
            </w:pPr>
            <w:r w:rsidRPr="00CF519D">
              <w:rPr>
                <w:sz w:val="16"/>
                <w:szCs w:val="16"/>
              </w:rPr>
              <w:t xml:space="preserve">[41] </w:t>
            </w:r>
            <w:proofErr w:type="spellStart"/>
            <w:r w:rsidRPr="00CF519D">
              <w:rPr>
                <w:sz w:val="16"/>
                <w:szCs w:val="16"/>
              </w:rPr>
              <w:t>Grunér</w:t>
            </w:r>
            <w:proofErr w:type="spellEnd"/>
            <w:r w:rsidRPr="00CF519D">
              <w:rPr>
                <w:sz w:val="16"/>
                <w:szCs w:val="16"/>
              </w:rPr>
              <w:t xml:space="preserve"> et al. (2018); Sweden</w:t>
            </w:r>
          </w:p>
        </w:tc>
        <w:tc>
          <w:tcPr>
            <w:tcW w:w="3100" w:type="dxa"/>
            <w:tcMar>
              <w:top w:w="30" w:type="dxa"/>
              <w:left w:w="60" w:type="dxa"/>
              <w:bottom w:w="30" w:type="dxa"/>
              <w:right w:w="60" w:type="dxa"/>
            </w:tcMar>
          </w:tcPr>
          <w:p w14:paraId="283B496B" w14:textId="77777777" w:rsidR="006708D4" w:rsidRPr="00CF519D" w:rsidRDefault="00086E4B" w:rsidP="00A41B6F">
            <w:pPr>
              <w:pStyle w:val="MDPI42tablebody"/>
              <w:jc w:val="left"/>
              <w:rPr>
                <w:sz w:val="16"/>
                <w:szCs w:val="16"/>
              </w:rPr>
            </w:pPr>
            <w:r w:rsidRPr="00CF519D">
              <w:rPr>
                <w:sz w:val="16"/>
                <w:szCs w:val="16"/>
              </w:rPr>
              <w:t>Randomised</w:t>
            </w:r>
            <w:r w:rsidR="006708D4" w:rsidRPr="00CF519D">
              <w:rPr>
                <w:sz w:val="16"/>
                <w:szCs w:val="16"/>
              </w:rPr>
              <w:t xml:space="preserve"> two-period crossover experiment.</w:t>
            </w:r>
          </w:p>
          <w:p w14:paraId="057C5E6C" w14:textId="77777777" w:rsidR="006708D4" w:rsidRPr="00CF519D" w:rsidRDefault="006708D4" w:rsidP="00A41B6F">
            <w:pPr>
              <w:pStyle w:val="MDPI42tablebody"/>
              <w:jc w:val="left"/>
              <w:rPr>
                <w:sz w:val="16"/>
                <w:szCs w:val="16"/>
              </w:rPr>
            </w:pPr>
            <w:r w:rsidRPr="00CF519D">
              <w:rPr>
                <w:sz w:val="16"/>
                <w:szCs w:val="16"/>
              </w:rPr>
              <w:t>49 schoolchildren with reading disability, grades 3–5 and 6–9</w:t>
            </w:r>
          </w:p>
        </w:tc>
        <w:tc>
          <w:tcPr>
            <w:tcW w:w="3300" w:type="dxa"/>
            <w:tcMar>
              <w:top w:w="30" w:type="dxa"/>
              <w:left w:w="60" w:type="dxa"/>
              <w:bottom w:w="30" w:type="dxa"/>
              <w:right w:w="60" w:type="dxa"/>
            </w:tcMar>
          </w:tcPr>
          <w:p w14:paraId="0F3F12D4" w14:textId="77777777" w:rsidR="006708D4" w:rsidRPr="00CF519D" w:rsidRDefault="006708D4" w:rsidP="00A41B6F">
            <w:pPr>
              <w:pStyle w:val="MDPI42tablebody"/>
              <w:jc w:val="left"/>
              <w:rPr>
                <w:sz w:val="16"/>
                <w:szCs w:val="16"/>
              </w:rPr>
            </w:pPr>
            <w:r w:rsidRPr="00CF519D">
              <w:rPr>
                <w:sz w:val="16"/>
                <w:szCs w:val="16"/>
              </w:rPr>
              <w:t xml:space="preserve">Listening to a text with TTS versus reading the same text independently, with conditions switched between periods; inattention and hyperactivity symptoms rated with the </w:t>
            </w:r>
            <w:r w:rsidRPr="00CF519D">
              <w:rPr>
                <w:sz w:val="16"/>
                <w:szCs w:val="16"/>
              </w:rPr>
              <w:lastRenderedPageBreak/>
              <w:t>Strengths and Difficulties Questionnaire (SDQ)</w:t>
            </w:r>
          </w:p>
        </w:tc>
        <w:tc>
          <w:tcPr>
            <w:tcW w:w="6600" w:type="dxa"/>
            <w:tcMar>
              <w:top w:w="30" w:type="dxa"/>
              <w:left w:w="60" w:type="dxa"/>
              <w:bottom w:w="30" w:type="dxa"/>
              <w:right w:w="60" w:type="dxa"/>
            </w:tcMar>
          </w:tcPr>
          <w:p w14:paraId="01C20E56" w14:textId="77777777" w:rsidR="006708D4" w:rsidRPr="00CF519D" w:rsidRDefault="006708D4" w:rsidP="00A41B6F">
            <w:pPr>
              <w:pStyle w:val="MDPI42tablebody"/>
              <w:jc w:val="left"/>
              <w:rPr>
                <w:sz w:val="16"/>
                <w:szCs w:val="16"/>
              </w:rPr>
            </w:pPr>
            <w:r w:rsidRPr="00CF519D">
              <w:rPr>
                <w:sz w:val="16"/>
                <w:szCs w:val="16"/>
              </w:rPr>
              <w:lastRenderedPageBreak/>
              <w:t>Reading comprehension and reading rate; moderation by inattention/hyperactivity symptoms.</w:t>
            </w:r>
          </w:p>
          <w:p w14:paraId="0CAC9904" w14:textId="77777777" w:rsidR="006708D4" w:rsidRPr="00CF519D" w:rsidRDefault="006708D4" w:rsidP="00A41B6F">
            <w:pPr>
              <w:pStyle w:val="MDPI42tablebody"/>
              <w:jc w:val="left"/>
              <w:rPr>
                <w:sz w:val="16"/>
                <w:szCs w:val="16"/>
              </w:rPr>
            </w:pPr>
            <w:r w:rsidRPr="00CF519D">
              <w:rPr>
                <w:sz w:val="16"/>
                <w:szCs w:val="16"/>
              </w:rPr>
              <w:t xml:space="preserve">Reading rate improved with TTS in both grade groups and was not moderated by ADHD symptoms. Comprehension improved with TTS in grades 3–5 but not in grades 6–9; higher </w:t>
            </w:r>
            <w:r w:rsidRPr="00CF519D">
              <w:rPr>
                <w:sz w:val="16"/>
                <w:szCs w:val="16"/>
              </w:rPr>
              <w:lastRenderedPageBreak/>
              <w:t>symptom scores were associated with less comprehension improvement in the younger group and greater improvement in the older group.</w:t>
            </w:r>
          </w:p>
        </w:tc>
      </w:tr>
      <w:tr w:rsidR="006708D4" w:rsidRPr="00CF519D" w14:paraId="34400DA0" w14:textId="77777777" w:rsidTr="00A41B6F">
        <w:trPr>
          <w:jc w:val="center"/>
        </w:trPr>
        <w:tc>
          <w:tcPr>
            <w:tcW w:w="2300" w:type="dxa"/>
            <w:tcMar>
              <w:top w:w="30" w:type="dxa"/>
              <w:left w:w="60" w:type="dxa"/>
              <w:bottom w:w="30" w:type="dxa"/>
              <w:right w:w="60" w:type="dxa"/>
            </w:tcMar>
          </w:tcPr>
          <w:p w14:paraId="6FDD4F17" w14:textId="77777777" w:rsidR="006708D4" w:rsidRPr="00CF519D" w:rsidRDefault="006708D4" w:rsidP="00A41B6F">
            <w:pPr>
              <w:pStyle w:val="MDPI42tablebody"/>
              <w:jc w:val="left"/>
              <w:rPr>
                <w:sz w:val="16"/>
                <w:szCs w:val="16"/>
              </w:rPr>
            </w:pPr>
            <w:r w:rsidRPr="00CF519D">
              <w:rPr>
                <w:sz w:val="16"/>
                <w:szCs w:val="16"/>
              </w:rPr>
              <w:lastRenderedPageBreak/>
              <w:t xml:space="preserve">[42] </w:t>
            </w:r>
            <w:proofErr w:type="spellStart"/>
            <w:r w:rsidRPr="00CF519D">
              <w:rPr>
                <w:sz w:val="16"/>
                <w:szCs w:val="16"/>
              </w:rPr>
              <w:t>Bonifacci</w:t>
            </w:r>
            <w:proofErr w:type="spellEnd"/>
            <w:r w:rsidRPr="00CF519D">
              <w:rPr>
                <w:sz w:val="16"/>
                <w:szCs w:val="16"/>
              </w:rPr>
              <w:t xml:space="preserve"> et al. (2022); Italy</w:t>
            </w:r>
          </w:p>
        </w:tc>
        <w:tc>
          <w:tcPr>
            <w:tcW w:w="3100" w:type="dxa"/>
            <w:tcMar>
              <w:top w:w="30" w:type="dxa"/>
              <w:left w:w="60" w:type="dxa"/>
              <w:bottom w:w="30" w:type="dxa"/>
              <w:right w:w="60" w:type="dxa"/>
            </w:tcMar>
          </w:tcPr>
          <w:p w14:paraId="18301227" w14:textId="77777777" w:rsidR="006708D4" w:rsidRPr="00CF519D" w:rsidRDefault="006708D4" w:rsidP="00A41B6F">
            <w:pPr>
              <w:pStyle w:val="MDPI42tablebody"/>
              <w:jc w:val="left"/>
              <w:rPr>
                <w:sz w:val="16"/>
                <w:szCs w:val="16"/>
              </w:rPr>
            </w:pPr>
            <w:r w:rsidRPr="00CF519D">
              <w:rPr>
                <w:sz w:val="16"/>
                <w:szCs w:val="16"/>
              </w:rPr>
              <w:t>Within-participant repeated-measures experiment.</w:t>
            </w:r>
          </w:p>
          <w:p w14:paraId="0735321F" w14:textId="77777777" w:rsidR="006708D4" w:rsidRPr="00CF519D" w:rsidRDefault="006708D4" w:rsidP="00A41B6F">
            <w:pPr>
              <w:pStyle w:val="MDPI42tablebody"/>
              <w:jc w:val="left"/>
              <w:rPr>
                <w:sz w:val="16"/>
                <w:szCs w:val="16"/>
              </w:rPr>
            </w:pPr>
            <w:r w:rsidRPr="00CF519D">
              <w:rPr>
                <w:sz w:val="16"/>
                <w:szCs w:val="16"/>
              </w:rPr>
              <w:t>70 school-age students: dyslexia n = 20; typical development n = 50</w:t>
            </w:r>
          </w:p>
        </w:tc>
        <w:tc>
          <w:tcPr>
            <w:tcW w:w="3300" w:type="dxa"/>
            <w:tcMar>
              <w:top w:w="30" w:type="dxa"/>
              <w:left w:w="60" w:type="dxa"/>
              <w:bottom w:w="30" w:type="dxa"/>
              <w:right w:w="60" w:type="dxa"/>
            </w:tcMar>
          </w:tcPr>
          <w:p w14:paraId="1ED07B79" w14:textId="77777777" w:rsidR="006708D4" w:rsidRPr="00CF519D" w:rsidRDefault="006708D4" w:rsidP="00A41B6F">
            <w:pPr>
              <w:pStyle w:val="MDPI42tablebody"/>
              <w:jc w:val="left"/>
              <w:rPr>
                <w:sz w:val="16"/>
                <w:szCs w:val="16"/>
              </w:rPr>
            </w:pPr>
            <w:r w:rsidRPr="00CF519D">
              <w:rPr>
                <w:sz w:val="16"/>
                <w:szCs w:val="16"/>
              </w:rPr>
              <w:t>Computer-presented texts read in two modalities: self-paced silent reading versus TTS reading</w:t>
            </w:r>
          </w:p>
        </w:tc>
        <w:tc>
          <w:tcPr>
            <w:tcW w:w="6600" w:type="dxa"/>
            <w:tcMar>
              <w:top w:w="30" w:type="dxa"/>
              <w:left w:w="60" w:type="dxa"/>
              <w:bottom w:w="30" w:type="dxa"/>
              <w:right w:w="60" w:type="dxa"/>
            </w:tcMar>
          </w:tcPr>
          <w:p w14:paraId="3F1D8AE1" w14:textId="77777777" w:rsidR="006708D4" w:rsidRPr="00CF519D" w:rsidRDefault="006708D4" w:rsidP="00A41B6F">
            <w:pPr>
              <w:pStyle w:val="MDPI42tablebody"/>
              <w:jc w:val="left"/>
              <w:rPr>
                <w:sz w:val="16"/>
                <w:szCs w:val="16"/>
              </w:rPr>
            </w:pPr>
            <w:r w:rsidRPr="00CF519D">
              <w:rPr>
                <w:sz w:val="16"/>
                <w:szCs w:val="16"/>
              </w:rPr>
              <w:t>Reading comprehension and probe-reported mind wandering.</w:t>
            </w:r>
          </w:p>
          <w:p w14:paraId="6B659CDF" w14:textId="77777777" w:rsidR="006708D4" w:rsidRPr="00CF519D" w:rsidRDefault="006708D4" w:rsidP="00A41B6F">
            <w:pPr>
              <w:pStyle w:val="MDPI42tablebody"/>
              <w:jc w:val="left"/>
              <w:rPr>
                <w:sz w:val="16"/>
                <w:szCs w:val="16"/>
              </w:rPr>
            </w:pPr>
            <w:r w:rsidRPr="00CF519D">
              <w:rPr>
                <w:sz w:val="16"/>
                <w:szCs w:val="16"/>
              </w:rPr>
              <w:t>Both groups showed higher comprehension and lower rates of mind wandering in the TTS condition, and students with dyslexia were significantly more on task with TTS. Baseline mind-wandering rates did not differ between groups. The participant age range is not stated in the published article and is recorded as not reported.</w:t>
            </w:r>
          </w:p>
        </w:tc>
      </w:tr>
      <w:tr w:rsidR="006708D4" w:rsidRPr="00CF519D" w14:paraId="68D47596" w14:textId="77777777" w:rsidTr="00A41B6F">
        <w:trPr>
          <w:jc w:val="center"/>
        </w:trPr>
        <w:tc>
          <w:tcPr>
            <w:tcW w:w="2300" w:type="dxa"/>
            <w:tcMar>
              <w:top w:w="30" w:type="dxa"/>
              <w:left w:w="60" w:type="dxa"/>
              <w:bottom w:w="30" w:type="dxa"/>
              <w:right w:w="60" w:type="dxa"/>
            </w:tcMar>
          </w:tcPr>
          <w:p w14:paraId="18577B49" w14:textId="77777777" w:rsidR="006708D4" w:rsidRPr="00CF519D" w:rsidRDefault="006708D4" w:rsidP="00A41B6F">
            <w:pPr>
              <w:pStyle w:val="MDPI42tablebody"/>
              <w:jc w:val="left"/>
              <w:rPr>
                <w:sz w:val="16"/>
                <w:szCs w:val="16"/>
              </w:rPr>
            </w:pPr>
            <w:r w:rsidRPr="00CF519D">
              <w:rPr>
                <w:sz w:val="16"/>
                <w:szCs w:val="16"/>
              </w:rPr>
              <w:t>[43] Moorman et al. (2010); USA</w:t>
            </w:r>
          </w:p>
        </w:tc>
        <w:tc>
          <w:tcPr>
            <w:tcW w:w="3100" w:type="dxa"/>
            <w:tcMar>
              <w:top w:w="30" w:type="dxa"/>
              <w:left w:w="60" w:type="dxa"/>
              <w:bottom w:w="30" w:type="dxa"/>
              <w:right w:w="60" w:type="dxa"/>
            </w:tcMar>
          </w:tcPr>
          <w:p w14:paraId="6F214FEC" w14:textId="77777777" w:rsidR="006708D4" w:rsidRPr="00CF519D" w:rsidRDefault="006708D4" w:rsidP="00A41B6F">
            <w:pPr>
              <w:pStyle w:val="MDPI42tablebody"/>
              <w:jc w:val="left"/>
              <w:rPr>
                <w:sz w:val="16"/>
                <w:szCs w:val="16"/>
              </w:rPr>
            </w:pPr>
            <w:r w:rsidRPr="00CF519D">
              <w:rPr>
                <w:sz w:val="16"/>
                <w:szCs w:val="16"/>
              </w:rPr>
              <w:t>A–B–A–B withdrawal single-case study.</w:t>
            </w:r>
          </w:p>
          <w:p w14:paraId="6C03F79C" w14:textId="77777777" w:rsidR="006708D4" w:rsidRPr="00CF519D" w:rsidRDefault="006708D4" w:rsidP="00A41B6F">
            <w:pPr>
              <w:pStyle w:val="MDPI42tablebody"/>
              <w:jc w:val="left"/>
              <w:rPr>
                <w:sz w:val="16"/>
                <w:szCs w:val="16"/>
              </w:rPr>
            </w:pPr>
            <w:r w:rsidRPr="00CF519D">
              <w:rPr>
                <w:sz w:val="16"/>
                <w:szCs w:val="16"/>
              </w:rPr>
              <w:t>2 high-school students with specific learning disabilities</w:t>
            </w:r>
          </w:p>
        </w:tc>
        <w:tc>
          <w:tcPr>
            <w:tcW w:w="3300" w:type="dxa"/>
            <w:tcMar>
              <w:top w:w="30" w:type="dxa"/>
              <w:left w:w="60" w:type="dxa"/>
              <w:bottom w:w="30" w:type="dxa"/>
              <w:right w:w="60" w:type="dxa"/>
            </w:tcMar>
          </w:tcPr>
          <w:p w14:paraId="6F3F04A5" w14:textId="77777777" w:rsidR="006708D4" w:rsidRPr="00CF519D" w:rsidRDefault="006708D4" w:rsidP="00A41B6F">
            <w:pPr>
              <w:pStyle w:val="MDPI42tablebody"/>
              <w:jc w:val="left"/>
              <w:rPr>
                <w:sz w:val="16"/>
                <w:szCs w:val="16"/>
              </w:rPr>
            </w:pPr>
            <w:r w:rsidRPr="00CF519D">
              <w:rPr>
                <w:sz w:val="16"/>
                <w:szCs w:val="16"/>
              </w:rPr>
              <w:t>Text-to-speech software versus unsupported independent reading of expository passages</w:t>
            </w:r>
          </w:p>
        </w:tc>
        <w:tc>
          <w:tcPr>
            <w:tcW w:w="6600" w:type="dxa"/>
            <w:tcMar>
              <w:top w:w="30" w:type="dxa"/>
              <w:left w:w="60" w:type="dxa"/>
              <w:bottom w:w="30" w:type="dxa"/>
              <w:right w:w="60" w:type="dxa"/>
            </w:tcMar>
          </w:tcPr>
          <w:p w14:paraId="5FA21A36" w14:textId="77777777" w:rsidR="006708D4" w:rsidRPr="00CF519D" w:rsidRDefault="006708D4" w:rsidP="00A41B6F">
            <w:pPr>
              <w:pStyle w:val="MDPI42tablebody"/>
              <w:jc w:val="left"/>
              <w:rPr>
                <w:sz w:val="16"/>
                <w:szCs w:val="16"/>
              </w:rPr>
            </w:pPr>
            <w:r>
              <w:t>Reading rate and reading comprehension.</w:t>
            </w:r>
            <w:r>
              <w:br/>
              <w:t xml:space="preserve">The ERIC record abstract reports </w:t>
            </w:r>
            <w:proofErr w:type="gramStart"/>
            <w:r>
              <w:t>increases</w:t>
            </w:r>
            <w:proofErr w:type="gramEnd"/>
            <w:r>
              <w:t xml:space="preserve"> in reading rate and improved comprehension for both participants. The full text was unavailable, so extraction is limited to abstract-level findings; phase-level values and a WWC rating could not be established.</w:t>
            </w:r>
          </w:p>
        </w:tc>
      </w:tr>
      <w:tr w:rsidR="006708D4" w:rsidRPr="00CF519D" w14:paraId="3AC6740D" w14:textId="77777777" w:rsidTr="00A41B6F">
        <w:trPr>
          <w:jc w:val="center"/>
        </w:trPr>
        <w:tc>
          <w:tcPr>
            <w:tcW w:w="2300" w:type="dxa"/>
            <w:tcMar>
              <w:top w:w="30" w:type="dxa"/>
              <w:left w:w="60" w:type="dxa"/>
              <w:bottom w:w="30" w:type="dxa"/>
              <w:right w:w="60" w:type="dxa"/>
            </w:tcMar>
          </w:tcPr>
          <w:p w14:paraId="39AFF1E1" w14:textId="77777777" w:rsidR="006708D4" w:rsidRPr="00CF519D" w:rsidRDefault="006708D4" w:rsidP="00A41B6F">
            <w:pPr>
              <w:pStyle w:val="MDPI42tablebody"/>
              <w:jc w:val="left"/>
              <w:rPr>
                <w:sz w:val="16"/>
                <w:szCs w:val="16"/>
              </w:rPr>
            </w:pPr>
            <w:r w:rsidRPr="00CF519D">
              <w:rPr>
                <w:sz w:val="16"/>
                <w:szCs w:val="16"/>
              </w:rPr>
              <w:t>[44] Meyer and Bouck (2014); USA</w:t>
            </w:r>
          </w:p>
        </w:tc>
        <w:tc>
          <w:tcPr>
            <w:tcW w:w="3100" w:type="dxa"/>
            <w:tcMar>
              <w:top w:w="30" w:type="dxa"/>
              <w:left w:w="60" w:type="dxa"/>
              <w:bottom w:w="30" w:type="dxa"/>
              <w:right w:w="60" w:type="dxa"/>
            </w:tcMar>
          </w:tcPr>
          <w:p w14:paraId="2DDF1E47" w14:textId="77777777" w:rsidR="006708D4" w:rsidRPr="00CF519D" w:rsidRDefault="006708D4" w:rsidP="00A41B6F">
            <w:pPr>
              <w:pStyle w:val="MDPI42tablebody"/>
              <w:jc w:val="left"/>
              <w:rPr>
                <w:sz w:val="16"/>
                <w:szCs w:val="16"/>
              </w:rPr>
            </w:pPr>
            <w:r w:rsidRPr="00CF519D">
              <w:rPr>
                <w:sz w:val="16"/>
                <w:szCs w:val="16"/>
              </w:rPr>
              <w:t>Multiple-baseline-across-participants single-case study.</w:t>
            </w:r>
          </w:p>
          <w:p w14:paraId="639965F4" w14:textId="77777777" w:rsidR="006708D4" w:rsidRPr="00CF519D" w:rsidRDefault="006708D4" w:rsidP="00A41B6F">
            <w:pPr>
              <w:pStyle w:val="MDPI42tablebody"/>
              <w:jc w:val="left"/>
              <w:rPr>
                <w:sz w:val="16"/>
                <w:szCs w:val="16"/>
              </w:rPr>
            </w:pPr>
            <w:r w:rsidRPr="00CF519D">
              <w:rPr>
                <w:sz w:val="16"/>
                <w:szCs w:val="16"/>
              </w:rPr>
              <w:t>3 junior-high students with reading disabilities</w:t>
            </w:r>
          </w:p>
        </w:tc>
        <w:tc>
          <w:tcPr>
            <w:tcW w:w="3300" w:type="dxa"/>
            <w:tcMar>
              <w:top w:w="30" w:type="dxa"/>
              <w:left w:w="60" w:type="dxa"/>
              <w:bottom w:w="30" w:type="dxa"/>
              <w:right w:w="60" w:type="dxa"/>
            </w:tcMar>
          </w:tcPr>
          <w:p w14:paraId="0EE92B85" w14:textId="77777777" w:rsidR="006708D4" w:rsidRPr="00CF519D" w:rsidRDefault="006708D4" w:rsidP="00A41B6F">
            <w:pPr>
              <w:pStyle w:val="MDPI42tablebody"/>
              <w:jc w:val="left"/>
              <w:rPr>
                <w:sz w:val="16"/>
                <w:szCs w:val="16"/>
              </w:rPr>
            </w:pPr>
            <w:r w:rsidRPr="00CF519D">
              <w:rPr>
                <w:sz w:val="16"/>
                <w:szCs w:val="16"/>
              </w:rPr>
              <w:t>Text-to-speech versus unsupported reading of grade-level expository text</w:t>
            </w:r>
          </w:p>
        </w:tc>
        <w:tc>
          <w:tcPr>
            <w:tcW w:w="6600" w:type="dxa"/>
            <w:tcMar>
              <w:top w:w="30" w:type="dxa"/>
              <w:left w:w="60" w:type="dxa"/>
              <w:bottom w:w="30" w:type="dxa"/>
              <w:right w:w="60" w:type="dxa"/>
            </w:tcMar>
          </w:tcPr>
          <w:p w14:paraId="223733AF" w14:textId="77777777" w:rsidR="006708D4" w:rsidRPr="00CF519D" w:rsidRDefault="006708D4" w:rsidP="00A41B6F">
            <w:pPr>
              <w:pStyle w:val="MDPI42tablebody"/>
              <w:jc w:val="left"/>
              <w:rPr>
                <w:sz w:val="16"/>
                <w:szCs w:val="16"/>
              </w:rPr>
            </w:pPr>
            <w:r>
              <w:t>Oral reading fluency, reading comprehension, task-completion time, and social validity.</w:t>
            </w:r>
            <w:r>
              <w:br/>
              <w:t>No statistically detectable difference in fluency, comprehension, or task-completion time was reported with text-to-speech. All three students nonetheless perceived that they had comprehended more, read more fluently, and finished more quickly with the technology; measured data did not support these perceptions.</w:t>
            </w:r>
          </w:p>
        </w:tc>
      </w:tr>
      <w:tr w:rsidR="006708D4" w:rsidRPr="00CF519D" w14:paraId="4E3FED84" w14:textId="77777777" w:rsidTr="00A41B6F">
        <w:trPr>
          <w:jc w:val="center"/>
        </w:trPr>
        <w:tc>
          <w:tcPr>
            <w:tcW w:w="2300" w:type="dxa"/>
            <w:tcMar>
              <w:top w:w="30" w:type="dxa"/>
              <w:left w:w="60" w:type="dxa"/>
              <w:bottom w:w="30" w:type="dxa"/>
              <w:right w:w="60" w:type="dxa"/>
            </w:tcMar>
          </w:tcPr>
          <w:p w14:paraId="6A5EE864" w14:textId="77777777" w:rsidR="006708D4" w:rsidRPr="00CF519D" w:rsidRDefault="006708D4" w:rsidP="00A41B6F">
            <w:pPr>
              <w:pStyle w:val="MDPI42tablebody"/>
              <w:jc w:val="left"/>
              <w:rPr>
                <w:sz w:val="16"/>
                <w:szCs w:val="16"/>
              </w:rPr>
            </w:pPr>
            <w:r w:rsidRPr="00CF519D">
              <w:rPr>
                <w:sz w:val="16"/>
                <w:szCs w:val="16"/>
              </w:rPr>
              <w:t>[45] Meyer and Bouck (2017); USA</w:t>
            </w:r>
          </w:p>
        </w:tc>
        <w:tc>
          <w:tcPr>
            <w:tcW w:w="3100" w:type="dxa"/>
            <w:tcMar>
              <w:top w:w="30" w:type="dxa"/>
              <w:left w:w="60" w:type="dxa"/>
              <w:bottom w:w="30" w:type="dxa"/>
              <w:right w:w="60" w:type="dxa"/>
            </w:tcMar>
          </w:tcPr>
          <w:p w14:paraId="56064414" w14:textId="77777777" w:rsidR="006708D4" w:rsidRPr="00CF519D" w:rsidRDefault="006708D4" w:rsidP="00A41B6F">
            <w:pPr>
              <w:pStyle w:val="MDPI42tablebody"/>
              <w:jc w:val="left"/>
              <w:rPr>
                <w:sz w:val="16"/>
                <w:szCs w:val="16"/>
              </w:rPr>
            </w:pPr>
            <w:r w:rsidRPr="00CF519D">
              <w:rPr>
                <w:sz w:val="16"/>
                <w:szCs w:val="16"/>
              </w:rPr>
              <w:t>Alternating-treatments single-case study.</w:t>
            </w:r>
          </w:p>
          <w:p w14:paraId="496EA7DB" w14:textId="77777777" w:rsidR="006708D4" w:rsidRPr="00CF519D" w:rsidRDefault="006708D4" w:rsidP="00A41B6F">
            <w:pPr>
              <w:pStyle w:val="MDPI42tablebody"/>
              <w:jc w:val="left"/>
              <w:rPr>
                <w:sz w:val="16"/>
                <w:szCs w:val="16"/>
              </w:rPr>
            </w:pPr>
            <w:r w:rsidRPr="00CF519D">
              <w:rPr>
                <w:sz w:val="16"/>
                <w:szCs w:val="16"/>
              </w:rPr>
              <w:t>4 secondary students with reading learning disabilities</w:t>
            </w:r>
          </w:p>
        </w:tc>
        <w:tc>
          <w:tcPr>
            <w:tcW w:w="3300" w:type="dxa"/>
            <w:tcMar>
              <w:top w:w="30" w:type="dxa"/>
              <w:left w:w="60" w:type="dxa"/>
              <w:bottom w:w="30" w:type="dxa"/>
              <w:right w:w="60" w:type="dxa"/>
            </w:tcMar>
          </w:tcPr>
          <w:p w14:paraId="352A4850" w14:textId="77777777" w:rsidR="006708D4" w:rsidRPr="00CF519D" w:rsidRDefault="006708D4" w:rsidP="00A41B6F">
            <w:pPr>
              <w:pStyle w:val="MDPI42tablebody"/>
              <w:jc w:val="left"/>
              <w:rPr>
                <w:sz w:val="16"/>
                <w:szCs w:val="16"/>
              </w:rPr>
            </w:pPr>
            <w:r w:rsidRPr="00CF519D">
              <w:rPr>
                <w:sz w:val="16"/>
                <w:szCs w:val="16"/>
              </w:rPr>
              <w:t>Live adult read-aloud, text-to-speech, and independent reading of expository text</w:t>
            </w:r>
          </w:p>
        </w:tc>
        <w:tc>
          <w:tcPr>
            <w:tcW w:w="6600" w:type="dxa"/>
            <w:tcMar>
              <w:top w:w="30" w:type="dxa"/>
              <w:left w:w="60" w:type="dxa"/>
              <w:bottom w:w="30" w:type="dxa"/>
              <w:right w:w="60" w:type="dxa"/>
            </w:tcMar>
          </w:tcPr>
          <w:p w14:paraId="3224F10A" w14:textId="77777777" w:rsidR="006708D4" w:rsidRPr="00CF519D" w:rsidRDefault="006708D4" w:rsidP="00A41B6F">
            <w:pPr>
              <w:pStyle w:val="MDPI42tablebody"/>
              <w:jc w:val="left"/>
              <w:rPr>
                <w:sz w:val="16"/>
                <w:szCs w:val="16"/>
              </w:rPr>
            </w:pPr>
            <w:r>
              <w:t>Reading comprehension of expository text and task-completion time.</w:t>
            </w:r>
            <w:r>
              <w:br/>
              <w:t xml:space="preserve">The publisher abstract reports that neither live nor TTS read-aloud increased comprehension to proficiency and that neither accommodation was superior. The full text was unavailable, so extraction is limited to abstract-level </w:t>
            </w:r>
            <w:proofErr w:type="gramStart"/>
            <w:r>
              <w:t>findings</w:t>
            </w:r>
            <w:proofErr w:type="gramEnd"/>
            <w:r>
              <w:t xml:space="preserve"> and a WWC rating could not be established.</w:t>
            </w:r>
          </w:p>
        </w:tc>
      </w:tr>
      <w:tr w:rsidR="006708D4" w:rsidRPr="00CF519D" w14:paraId="2A8EEB1B" w14:textId="77777777" w:rsidTr="00A41B6F">
        <w:trPr>
          <w:jc w:val="center"/>
        </w:trPr>
        <w:tc>
          <w:tcPr>
            <w:tcW w:w="2300" w:type="dxa"/>
            <w:tcMar>
              <w:top w:w="30" w:type="dxa"/>
              <w:left w:w="60" w:type="dxa"/>
              <w:bottom w:w="30" w:type="dxa"/>
              <w:right w:w="60" w:type="dxa"/>
            </w:tcMar>
          </w:tcPr>
          <w:p w14:paraId="0587B57A" w14:textId="77777777" w:rsidR="006708D4" w:rsidRPr="00CF519D" w:rsidRDefault="006708D4" w:rsidP="00A41B6F">
            <w:pPr>
              <w:pStyle w:val="MDPI42tablebody"/>
              <w:jc w:val="left"/>
              <w:rPr>
                <w:sz w:val="16"/>
                <w:szCs w:val="16"/>
              </w:rPr>
            </w:pPr>
            <w:r w:rsidRPr="00CF519D">
              <w:rPr>
                <w:sz w:val="16"/>
                <w:szCs w:val="16"/>
              </w:rPr>
              <w:t>[46] Brunow and Cullen (2021); USA</w:t>
            </w:r>
          </w:p>
        </w:tc>
        <w:tc>
          <w:tcPr>
            <w:tcW w:w="3100" w:type="dxa"/>
            <w:tcMar>
              <w:top w:w="30" w:type="dxa"/>
              <w:left w:w="60" w:type="dxa"/>
              <w:bottom w:w="30" w:type="dxa"/>
              <w:right w:w="60" w:type="dxa"/>
            </w:tcMar>
          </w:tcPr>
          <w:p w14:paraId="4249B89A" w14:textId="77777777" w:rsidR="006708D4" w:rsidRPr="00CF519D" w:rsidRDefault="006708D4" w:rsidP="00A41B6F">
            <w:pPr>
              <w:pStyle w:val="MDPI42tablebody"/>
              <w:jc w:val="left"/>
              <w:rPr>
                <w:sz w:val="16"/>
                <w:szCs w:val="16"/>
              </w:rPr>
            </w:pPr>
            <w:r w:rsidRPr="00CF519D">
              <w:rPr>
                <w:sz w:val="16"/>
                <w:szCs w:val="16"/>
              </w:rPr>
              <w:t>Alternating-treatments single-case study.</w:t>
            </w:r>
          </w:p>
          <w:p w14:paraId="213BB707" w14:textId="77777777" w:rsidR="006708D4" w:rsidRPr="00CF519D" w:rsidRDefault="006708D4" w:rsidP="00A41B6F">
            <w:pPr>
              <w:pStyle w:val="MDPI42tablebody"/>
              <w:jc w:val="left"/>
              <w:rPr>
                <w:sz w:val="16"/>
                <w:szCs w:val="16"/>
              </w:rPr>
            </w:pPr>
            <w:r w:rsidRPr="00CF519D">
              <w:rPr>
                <w:sz w:val="16"/>
                <w:szCs w:val="16"/>
              </w:rPr>
              <w:t>4 students with learning disabilities, 16–17 years</w:t>
            </w:r>
          </w:p>
        </w:tc>
        <w:tc>
          <w:tcPr>
            <w:tcW w:w="3300" w:type="dxa"/>
            <w:tcMar>
              <w:top w:w="30" w:type="dxa"/>
              <w:left w:w="60" w:type="dxa"/>
              <w:bottom w:w="30" w:type="dxa"/>
              <w:right w:w="60" w:type="dxa"/>
            </w:tcMar>
          </w:tcPr>
          <w:p w14:paraId="0AE93B2C" w14:textId="77777777" w:rsidR="006708D4" w:rsidRPr="00CF519D" w:rsidRDefault="006708D4" w:rsidP="00A41B6F">
            <w:pPr>
              <w:pStyle w:val="MDPI42tablebody"/>
              <w:jc w:val="left"/>
              <w:rPr>
                <w:sz w:val="16"/>
                <w:szCs w:val="16"/>
              </w:rPr>
            </w:pPr>
            <w:r w:rsidRPr="00CF519D">
              <w:rPr>
                <w:sz w:val="16"/>
                <w:szCs w:val="16"/>
              </w:rPr>
              <w:t>Text-to-speech versus a human reader applied to grade-level required reading</w:t>
            </w:r>
          </w:p>
        </w:tc>
        <w:tc>
          <w:tcPr>
            <w:tcW w:w="6600" w:type="dxa"/>
            <w:tcMar>
              <w:top w:w="30" w:type="dxa"/>
              <w:left w:w="60" w:type="dxa"/>
              <w:bottom w:w="30" w:type="dxa"/>
              <w:right w:w="60" w:type="dxa"/>
            </w:tcMar>
          </w:tcPr>
          <w:p w14:paraId="308FC03B" w14:textId="77777777" w:rsidR="006708D4" w:rsidRPr="00CF519D" w:rsidRDefault="006708D4" w:rsidP="00A41B6F">
            <w:pPr>
              <w:pStyle w:val="MDPI42tablebody"/>
              <w:jc w:val="left"/>
              <w:rPr>
                <w:sz w:val="16"/>
                <w:szCs w:val="16"/>
              </w:rPr>
            </w:pPr>
            <w:r w:rsidRPr="00CF519D">
              <w:rPr>
                <w:sz w:val="16"/>
                <w:szCs w:val="16"/>
              </w:rPr>
              <w:t>Listening comprehension (excerpt and multiple-choice quizzes).</w:t>
            </w:r>
          </w:p>
          <w:p w14:paraId="15CE6895" w14:textId="77777777" w:rsidR="006708D4" w:rsidRPr="00CF519D" w:rsidRDefault="006708D4" w:rsidP="00A41B6F">
            <w:pPr>
              <w:pStyle w:val="MDPI42tablebody"/>
              <w:jc w:val="left"/>
              <w:rPr>
                <w:sz w:val="16"/>
                <w:szCs w:val="16"/>
              </w:rPr>
            </w:pPr>
            <w:r w:rsidRPr="00CF519D">
              <w:rPr>
                <w:sz w:val="16"/>
                <w:szCs w:val="16"/>
              </w:rPr>
              <w:t>Mean listening-comprehension scores were higher under the human reader than under text-to-speech for all four students. The authors concluded that TTS may support learners with learning disabilities as a supplement to explicit instruction but was less effective than a human reader for listening comprehension.</w:t>
            </w:r>
          </w:p>
        </w:tc>
      </w:tr>
      <w:tr w:rsidR="006708D4" w:rsidRPr="00CF519D" w14:paraId="2EB9B712" w14:textId="77777777" w:rsidTr="00A41B6F">
        <w:trPr>
          <w:jc w:val="center"/>
        </w:trPr>
        <w:tc>
          <w:tcPr>
            <w:tcW w:w="2300" w:type="dxa"/>
            <w:tcMar>
              <w:top w:w="30" w:type="dxa"/>
              <w:left w:w="60" w:type="dxa"/>
              <w:bottom w:w="30" w:type="dxa"/>
              <w:right w:w="60" w:type="dxa"/>
            </w:tcMar>
          </w:tcPr>
          <w:p w14:paraId="47DE2F85" w14:textId="77777777" w:rsidR="006708D4" w:rsidRPr="00CF519D" w:rsidRDefault="006708D4" w:rsidP="00A41B6F">
            <w:pPr>
              <w:pStyle w:val="MDPI42tablebody"/>
              <w:jc w:val="left"/>
              <w:rPr>
                <w:sz w:val="16"/>
                <w:szCs w:val="16"/>
              </w:rPr>
            </w:pPr>
            <w:r w:rsidRPr="00CF519D">
              <w:rPr>
                <w:sz w:val="16"/>
                <w:szCs w:val="16"/>
              </w:rPr>
              <w:t xml:space="preserve">[47] </w:t>
            </w:r>
            <w:proofErr w:type="spellStart"/>
            <w:r w:rsidRPr="00CF519D">
              <w:rPr>
                <w:sz w:val="16"/>
                <w:szCs w:val="16"/>
              </w:rPr>
              <w:t>Fälth</w:t>
            </w:r>
            <w:proofErr w:type="spellEnd"/>
            <w:r w:rsidRPr="00CF519D">
              <w:rPr>
                <w:sz w:val="16"/>
                <w:szCs w:val="16"/>
              </w:rPr>
              <w:t xml:space="preserve"> et al. (2025); Sweden</w:t>
            </w:r>
          </w:p>
        </w:tc>
        <w:tc>
          <w:tcPr>
            <w:tcW w:w="3100" w:type="dxa"/>
            <w:tcMar>
              <w:top w:w="30" w:type="dxa"/>
              <w:left w:w="60" w:type="dxa"/>
              <w:bottom w:w="30" w:type="dxa"/>
              <w:right w:w="60" w:type="dxa"/>
            </w:tcMar>
          </w:tcPr>
          <w:p w14:paraId="31D1CA73" w14:textId="77777777" w:rsidR="006708D4" w:rsidRPr="00CF519D" w:rsidRDefault="006708D4" w:rsidP="00A41B6F">
            <w:pPr>
              <w:pStyle w:val="MDPI42tablebody"/>
              <w:jc w:val="left"/>
              <w:rPr>
                <w:sz w:val="16"/>
                <w:szCs w:val="16"/>
              </w:rPr>
            </w:pPr>
            <w:r w:rsidRPr="00CF519D">
              <w:rPr>
                <w:sz w:val="16"/>
                <w:szCs w:val="16"/>
              </w:rPr>
              <w:t>Single-subject two-condition comparison.</w:t>
            </w:r>
          </w:p>
          <w:p w14:paraId="58505C0B" w14:textId="77777777" w:rsidR="006708D4" w:rsidRPr="00CF519D" w:rsidRDefault="006708D4" w:rsidP="00A41B6F">
            <w:pPr>
              <w:pStyle w:val="MDPI42tablebody"/>
              <w:jc w:val="left"/>
              <w:rPr>
                <w:sz w:val="16"/>
                <w:szCs w:val="16"/>
              </w:rPr>
            </w:pPr>
            <w:r w:rsidRPr="00CF519D">
              <w:rPr>
                <w:sz w:val="16"/>
                <w:szCs w:val="16"/>
              </w:rPr>
              <w:t>5 students with mild intellectual disability</w:t>
            </w:r>
          </w:p>
        </w:tc>
        <w:tc>
          <w:tcPr>
            <w:tcW w:w="3300" w:type="dxa"/>
            <w:tcMar>
              <w:top w:w="30" w:type="dxa"/>
              <w:left w:w="60" w:type="dxa"/>
              <w:bottom w:w="30" w:type="dxa"/>
              <w:right w:w="60" w:type="dxa"/>
            </w:tcMar>
          </w:tcPr>
          <w:p w14:paraId="1DE7E9AA" w14:textId="77777777" w:rsidR="006708D4" w:rsidRPr="00CF519D" w:rsidRDefault="006708D4" w:rsidP="00A41B6F">
            <w:pPr>
              <w:pStyle w:val="MDPI42tablebody"/>
              <w:jc w:val="left"/>
              <w:rPr>
                <w:sz w:val="16"/>
                <w:szCs w:val="16"/>
              </w:rPr>
            </w:pPr>
            <w:r w:rsidRPr="00CF519D">
              <w:rPr>
                <w:sz w:val="16"/>
                <w:szCs w:val="16"/>
              </w:rPr>
              <w:t>Independent reading versus listening with text-to-speech, using short accessible texts</w:t>
            </w:r>
          </w:p>
        </w:tc>
        <w:tc>
          <w:tcPr>
            <w:tcW w:w="6600" w:type="dxa"/>
            <w:tcMar>
              <w:top w:w="30" w:type="dxa"/>
              <w:left w:w="60" w:type="dxa"/>
              <w:bottom w:w="30" w:type="dxa"/>
              <w:right w:w="60" w:type="dxa"/>
            </w:tcMar>
          </w:tcPr>
          <w:p w14:paraId="64FBE62A" w14:textId="77777777" w:rsidR="006708D4" w:rsidRPr="00CF519D" w:rsidRDefault="006708D4" w:rsidP="00A41B6F">
            <w:pPr>
              <w:pStyle w:val="MDPI42tablebody"/>
              <w:jc w:val="left"/>
              <w:rPr>
                <w:sz w:val="16"/>
                <w:szCs w:val="16"/>
              </w:rPr>
            </w:pPr>
            <w:r>
              <w:t>Text comprehension, retelling, and independence.</w:t>
            </w:r>
            <w:r>
              <w:br/>
              <w:t xml:space="preserve">Source-reported PEM values ranged from 0.08 to 0.75 (8–75%) across learners for comprehension and independence; higher values indicate </w:t>
            </w:r>
            <w:r>
              <w:lastRenderedPageBreak/>
              <w:t>greater separation from baseline, and responses were heterogeneous. The authors recommended combining TTS with comprehension-strategy instruction. Cohort overlap with [27], [28], and [39] could not be excluded (Table S4, Panel C).</w:t>
            </w:r>
          </w:p>
        </w:tc>
      </w:tr>
      <w:tr w:rsidR="006708D4" w:rsidRPr="00CF519D" w14:paraId="10C29DE0" w14:textId="77777777" w:rsidTr="00A41B6F">
        <w:trPr>
          <w:jc w:val="center"/>
        </w:trPr>
        <w:tc>
          <w:tcPr>
            <w:tcW w:w="2300" w:type="dxa"/>
            <w:tcMar>
              <w:top w:w="30" w:type="dxa"/>
              <w:left w:w="60" w:type="dxa"/>
              <w:bottom w:w="30" w:type="dxa"/>
              <w:right w:w="60" w:type="dxa"/>
            </w:tcMar>
          </w:tcPr>
          <w:p w14:paraId="25B0F0E7" w14:textId="77777777" w:rsidR="006708D4" w:rsidRPr="00CF519D" w:rsidRDefault="006708D4" w:rsidP="00A41B6F">
            <w:pPr>
              <w:pStyle w:val="MDPI42tablebody"/>
              <w:jc w:val="left"/>
              <w:rPr>
                <w:sz w:val="16"/>
                <w:szCs w:val="16"/>
              </w:rPr>
            </w:pPr>
            <w:r w:rsidRPr="00CF519D">
              <w:rPr>
                <w:sz w:val="16"/>
                <w:szCs w:val="16"/>
              </w:rPr>
              <w:lastRenderedPageBreak/>
              <w:t>[48] Silvestri et al. (2022); Canada</w:t>
            </w:r>
          </w:p>
        </w:tc>
        <w:tc>
          <w:tcPr>
            <w:tcW w:w="3100" w:type="dxa"/>
            <w:tcMar>
              <w:top w:w="30" w:type="dxa"/>
              <w:left w:w="60" w:type="dxa"/>
              <w:bottom w:w="30" w:type="dxa"/>
              <w:right w:w="60" w:type="dxa"/>
            </w:tcMar>
          </w:tcPr>
          <w:p w14:paraId="10168CB6" w14:textId="77777777" w:rsidR="006708D4" w:rsidRPr="00CF519D" w:rsidRDefault="006708D4" w:rsidP="00A41B6F">
            <w:pPr>
              <w:pStyle w:val="MDPI42tablebody"/>
              <w:jc w:val="left"/>
              <w:rPr>
                <w:sz w:val="16"/>
                <w:szCs w:val="16"/>
              </w:rPr>
            </w:pPr>
            <w:r w:rsidRPr="00CF519D">
              <w:rPr>
                <w:sz w:val="16"/>
                <w:szCs w:val="16"/>
              </w:rPr>
              <w:t>Within-participant counterbalanced comparison.</w:t>
            </w:r>
          </w:p>
          <w:p w14:paraId="4C20DDD6" w14:textId="77777777" w:rsidR="006708D4" w:rsidRPr="00CF519D" w:rsidRDefault="006708D4" w:rsidP="00A41B6F">
            <w:pPr>
              <w:pStyle w:val="MDPI42tablebody"/>
              <w:jc w:val="left"/>
              <w:rPr>
                <w:sz w:val="16"/>
                <w:szCs w:val="16"/>
              </w:rPr>
            </w:pPr>
            <w:r w:rsidRPr="00CF519D">
              <w:rPr>
                <w:sz w:val="16"/>
                <w:szCs w:val="16"/>
              </w:rPr>
              <w:t>94 grade-8 students with reading difficulties</w:t>
            </w:r>
          </w:p>
        </w:tc>
        <w:tc>
          <w:tcPr>
            <w:tcW w:w="3300" w:type="dxa"/>
            <w:tcMar>
              <w:top w:w="30" w:type="dxa"/>
              <w:left w:w="60" w:type="dxa"/>
              <w:bottom w:w="30" w:type="dxa"/>
              <w:right w:w="60" w:type="dxa"/>
            </w:tcMar>
          </w:tcPr>
          <w:p w14:paraId="23EB2BAB" w14:textId="77777777" w:rsidR="006708D4" w:rsidRPr="00CF519D" w:rsidRDefault="006708D4" w:rsidP="00A41B6F">
            <w:pPr>
              <w:pStyle w:val="MDPI42tablebody"/>
              <w:jc w:val="left"/>
              <w:rPr>
                <w:sz w:val="16"/>
                <w:szCs w:val="16"/>
              </w:rPr>
            </w:pPr>
            <w:r w:rsidRPr="00CF519D">
              <w:rPr>
                <w:sz w:val="16"/>
                <w:szCs w:val="16"/>
              </w:rPr>
              <w:t>Reading with versus without text-to-speech; participants classified into Simple View of Reading cognitive profiles</w:t>
            </w:r>
          </w:p>
        </w:tc>
        <w:tc>
          <w:tcPr>
            <w:tcW w:w="6600" w:type="dxa"/>
            <w:tcMar>
              <w:top w:w="30" w:type="dxa"/>
              <w:left w:w="60" w:type="dxa"/>
              <w:bottom w:w="30" w:type="dxa"/>
              <w:right w:w="60" w:type="dxa"/>
            </w:tcMar>
          </w:tcPr>
          <w:p w14:paraId="0FF6F932" w14:textId="77777777" w:rsidR="006708D4" w:rsidRPr="00CF519D" w:rsidRDefault="006708D4" w:rsidP="00A41B6F">
            <w:pPr>
              <w:pStyle w:val="MDPI42tablebody"/>
              <w:jc w:val="left"/>
              <w:rPr>
                <w:sz w:val="16"/>
                <w:szCs w:val="16"/>
              </w:rPr>
            </w:pPr>
            <w:r>
              <w:t>Reading comprehension, analysed by cognitive profile.</w:t>
            </w:r>
            <w:r>
              <w:br/>
              <w:t>Only students with a dyslexic profile, whose listening comprehension exceeded their decoding skill, had a statistically significant within-profile comprehension gain with TTS, reported as a 1.58-point grade-equivalent score difference (not 1.58 years of learning). The remaining profiles did not have statistically significant within-profile gains; between-profile heterogeneity was not established. A corrigendum to this article was published in 2021.</w:t>
            </w:r>
          </w:p>
        </w:tc>
      </w:tr>
      <w:tr w:rsidR="006708D4" w:rsidRPr="00CF519D" w14:paraId="132A6CDC" w14:textId="77777777" w:rsidTr="00A41B6F">
        <w:trPr>
          <w:jc w:val="center"/>
        </w:trPr>
        <w:tc>
          <w:tcPr>
            <w:tcW w:w="2300" w:type="dxa"/>
            <w:tcMar>
              <w:top w:w="30" w:type="dxa"/>
              <w:left w:w="60" w:type="dxa"/>
              <w:bottom w:w="30" w:type="dxa"/>
              <w:right w:w="60" w:type="dxa"/>
            </w:tcMar>
          </w:tcPr>
          <w:p w14:paraId="152F6262" w14:textId="77777777" w:rsidR="006708D4" w:rsidRPr="00CF519D" w:rsidRDefault="006708D4" w:rsidP="00A41B6F">
            <w:pPr>
              <w:pStyle w:val="MDPI42tablebody"/>
              <w:jc w:val="left"/>
              <w:rPr>
                <w:sz w:val="16"/>
                <w:szCs w:val="16"/>
              </w:rPr>
            </w:pPr>
            <w:r w:rsidRPr="00CF519D">
              <w:rPr>
                <w:sz w:val="16"/>
                <w:szCs w:val="16"/>
              </w:rPr>
              <w:t>[49] Kraft (2023); Sweden</w:t>
            </w:r>
          </w:p>
        </w:tc>
        <w:tc>
          <w:tcPr>
            <w:tcW w:w="3100" w:type="dxa"/>
            <w:tcMar>
              <w:top w:w="30" w:type="dxa"/>
              <w:left w:w="60" w:type="dxa"/>
              <w:bottom w:w="30" w:type="dxa"/>
              <w:right w:w="60" w:type="dxa"/>
            </w:tcMar>
          </w:tcPr>
          <w:p w14:paraId="55DE126E" w14:textId="77777777" w:rsidR="006708D4" w:rsidRPr="00CF519D" w:rsidRDefault="006708D4" w:rsidP="00A41B6F">
            <w:pPr>
              <w:pStyle w:val="MDPI42tablebody"/>
              <w:jc w:val="left"/>
              <w:rPr>
                <w:sz w:val="16"/>
                <w:szCs w:val="16"/>
              </w:rPr>
            </w:pPr>
            <w:r w:rsidRPr="00CF519D">
              <w:rPr>
                <w:sz w:val="16"/>
                <w:szCs w:val="16"/>
              </w:rPr>
              <w:t>Counterbalanced within-participant comparison.</w:t>
            </w:r>
          </w:p>
          <w:p w14:paraId="4375F514" w14:textId="77777777" w:rsidR="006708D4" w:rsidRPr="00CF519D" w:rsidRDefault="006708D4" w:rsidP="00A41B6F">
            <w:pPr>
              <w:pStyle w:val="MDPI42tablebody"/>
              <w:jc w:val="left"/>
              <w:rPr>
                <w:sz w:val="16"/>
                <w:szCs w:val="16"/>
              </w:rPr>
            </w:pPr>
            <w:r w:rsidRPr="00CF519D">
              <w:rPr>
                <w:sz w:val="16"/>
                <w:szCs w:val="16"/>
              </w:rPr>
              <w:t xml:space="preserve">28 children aged 10–13 years: 16 with reading and writing difficulties identified by </w:t>
            </w:r>
            <w:r w:rsidR="00086E4B" w:rsidRPr="00CF519D">
              <w:rPr>
                <w:sz w:val="16"/>
                <w:szCs w:val="16"/>
              </w:rPr>
              <w:t>standardised</w:t>
            </w:r>
            <w:r w:rsidRPr="00CF519D">
              <w:rPr>
                <w:sz w:val="16"/>
                <w:szCs w:val="16"/>
              </w:rPr>
              <w:t xml:space="preserve"> spelling or decoding cut-offs; 12 reference peers without such difficulties</w:t>
            </w:r>
          </w:p>
        </w:tc>
        <w:tc>
          <w:tcPr>
            <w:tcW w:w="3300" w:type="dxa"/>
            <w:tcMar>
              <w:top w:w="30" w:type="dxa"/>
              <w:left w:w="60" w:type="dxa"/>
              <w:bottom w:w="30" w:type="dxa"/>
              <w:right w:w="60" w:type="dxa"/>
            </w:tcMar>
          </w:tcPr>
          <w:p w14:paraId="1F47E86B" w14:textId="77777777" w:rsidR="006708D4" w:rsidRPr="00CF519D" w:rsidRDefault="006708D4" w:rsidP="00A41B6F">
            <w:pPr>
              <w:pStyle w:val="MDPI42tablebody"/>
              <w:jc w:val="left"/>
              <w:rPr>
                <w:sz w:val="16"/>
                <w:szCs w:val="16"/>
              </w:rPr>
            </w:pPr>
            <w:r w:rsidRPr="00CF519D">
              <w:rPr>
                <w:sz w:val="16"/>
                <w:szCs w:val="16"/>
              </w:rPr>
              <w:t>Expository text composition using built-in automatic STT (word processor, spell-checker disabled) versus keyboard writing; order and topic counterbalanced; one text per condition after brief training</w:t>
            </w:r>
          </w:p>
        </w:tc>
        <w:tc>
          <w:tcPr>
            <w:tcW w:w="6600" w:type="dxa"/>
            <w:tcMar>
              <w:top w:w="30" w:type="dxa"/>
              <w:left w:w="60" w:type="dxa"/>
              <w:bottom w:w="30" w:type="dxa"/>
              <w:right w:w="60" w:type="dxa"/>
            </w:tcMar>
          </w:tcPr>
          <w:p w14:paraId="24AC16C8" w14:textId="77777777" w:rsidR="006708D4" w:rsidRPr="00CF519D" w:rsidRDefault="006708D4" w:rsidP="00A41B6F">
            <w:pPr>
              <w:pStyle w:val="MDPI42tablebody"/>
              <w:jc w:val="left"/>
              <w:rPr>
                <w:sz w:val="16"/>
                <w:szCs w:val="16"/>
              </w:rPr>
            </w:pPr>
            <w:r w:rsidRPr="00CF519D">
              <w:rPr>
                <w:sz w:val="16"/>
                <w:szCs w:val="16"/>
              </w:rPr>
              <w:t>Revisions at different levels, spelling and STT errors left in the final text, and text quality by comparative judgment.</w:t>
            </w:r>
          </w:p>
          <w:p w14:paraId="78F2BC30" w14:textId="77777777" w:rsidR="006708D4" w:rsidRPr="00CF519D" w:rsidRDefault="006708D4" w:rsidP="00A41B6F">
            <w:pPr>
              <w:pStyle w:val="MDPI42tablebody"/>
              <w:jc w:val="left"/>
              <w:rPr>
                <w:sz w:val="16"/>
                <w:szCs w:val="16"/>
              </w:rPr>
            </w:pPr>
            <w:r w:rsidRPr="00CF519D">
              <w:rPr>
                <w:sz w:val="16"/>
                <w:szCs w:val="16"/>
              </w:rPr>
              <w:t xml:space="preserve">Both groups left fewer errors in the final text with STT (condition </w:t>
            </w:r>
            <w:proofErr w:type="gramStart"/>
            <w:r w:rsidRPr="00CF519D">
              <w:rPr>
                <w:sz w:val="16"/>
                <w:szCs w:val="16"/>
              </w:rPr>
              <w:t>F(</w:t>
            </w:r>
            <w:proofErr w:type="gramEnd"/>
            <w:r w:rsidRPr="00CF519D">
              <w:rPr>
                <w:sz w:val="16"/>
                <w:szCs w:val="16"/>
              </w:rPr>
              <w:t xml:space="preserve">1,52) = 14.92, p &lt; 0.001, partial η² = 0.22); the reduction in residual spelling errors was largest among learners with reading and writing difficulties (interaction </w:t>
            </w:r>
            <w:proofErr w:type="gramStart"/>
            <w:r w:rsidRPr="00CF519D">
              <w:rPr>
                <w:sz w:val="16"/>
                <w:szCs w:val="16"/>
              </w:rPr>
              <w:t>F(</w:t>
            </w:r>
            <w:proofErr w:type="gramEnd"/>
            <w:r w:rsidRPr="00CF519D">
              <w:rPr>
                <w:sz w:val="16"/>
                <w:szCs w:val="16"/>
              </w:rPr>
              <w:t>1,52) = 8.88, p = 0.004, partial η² = 0.15); text quality did not differ between conditions (p = 0.95).</w:t>
            </w:r>
          </w:p>
        </w:tc>
      </w:tr>
    </w:tbl>
    <w:p w14:paraId="5D9EEB4B" w14:textId="77777777" w:rsidR="006708D4" w:rsidRDefault="006708D4" w:rsidP="006708D4">
      <w:pPr>
        <w:pStyle w:val="MDPI43tablefooter"/>
      </w:pPr>
      <w:r>
        <w:t>Note: ADHD, attention-deficit/hyperactivity disorder; AI, artificial intelligence; LD, learning disability; NAP, nonoverlap of all pairs; PEM, percentage exceeding the median; SCED/SCD, single-case experimental design/single-case design; STT, speech-to-text; TTS, text-to-speech. Participant counts represent enrolled or baseline samples unless otherwise indicated; outcome-specific analytic denominators were smaller in some reports. Reported p values and effect statistics were transcribed from the source reports and should be interpreted together with the methodological appraisal in Figure 2 and Table S3.</w:t>
      </w:r>
    </w:p>
    <w:p w14:paraId="34B57F01" w14:textId="77777777" w:rsidR="006708D4" w:rsidRDefault="006708D4" w:rsidP="006708D4">
      <w:pPr>
        <w:sectPr w:rsidR="006708D4" w:rsidSect="006708D4">
          <w:pgSz w:w="16838" w:h="11906" w:orient="landscape"/>
          <w:pgMar w:top="1417" w:right="720" w:bottom="907" w:left="720" w:header="720" w:footer="612" w:gutter="0"/>
          <w:lnNumType w:countBy="1" w:distance="255" w:restart="continuous"/>
          <w:cols w:space="720"/>
          <w:formProt w:val="0"/>
          <w:docGrid w:type="lines" w:linePitch="326"/>
        </w:sectPr>
      </w:pPr>
    </w:p>
    <w:p w14:paraId="31D60C47" w14:textId="77777777" w:rsidR="006708D4" w:rsidRDefault="006708D4" w:rsidP="006708D4">
      <w:pPr>
        <w:pStyle w:val="MDPI22heading2"/>
      </w:pPr>
      <w:r>
        <w:lastRenderedPageBreak/>
        <w:t>3.2. Methodological Appraisal</w:t>
      </w:r>
    </w:p>
    <w:p w14:paraId="7BA1BB22" w14:textId="77777777" w:rsidR="006708D4" w:rsidRDefault="006708D4" w:rsidP="006708D4">
      <w:pPr>
        <w:pStyle w:val="MDPI31text"/>
      </w:pPr>
      <w:r>
        <w:t xml:space="preserve">Tool-based overall judgments were assigned to 25 of the 27 reports (Figure 2 and Table S3); reports [43] and [45] could not be rated because only abstracts were available. RoB 2 and ROBINS-I judgments refer to the prespecified target result named in Table S3 rather than to the </w:t>
      </w:r>
      <w:proofErr w:type="gramStart"/>
      <w:r>
        <w:t>study as a whole, and</w:t>
      </w:r>
      <w:proofErr w:type="gramEnd"/>
      <w:r>
        <w:t xml:space="preserve"> WWC ratings refer to the target outcome and its contribution to a standards-compliant demonstration of effect. Of the two randomised reports, the parallel-group trial [29] was judged at high risk of bias, and the crossover experiment [41] raised some concerns. Of the ten non-randomised and counterbalanced within-participant reports, five were judged at serious risk [23,24,30,36,40] and five at moderate risk [25,31,42,48,49].</w:t>
      </w:r>
    </w:p>
    <w:p w14:paraId="0695022A" w14:textId="563FAF65" w:rsidR="006708D4" w:rsidRDefault="006708D4" w:rsidP="006708D4">
      <w:pPr>
        <w:pStyle w:val="MDPI31text"/>
      </w:pPr>
      <w:r>
        <w:t xml:space="preserve">Among the fifteen single-case reports, six met WWC Version 5.0 standards with reservations [32–35,44,46], seven did not meet WWC standards [26–28,37–39,47], none met standards without reservations, and two were not assessable from abstracts [43,45]. Report [47] used an A–B design and therefore did not provide the three eligible demonstrations required for a rating of Meets WWC Standards </w:t>
      </w:r>
      <w:r w:rsidR="000A1276">
        <w:t>with</w:t>
      </w:r>
      <w:r>
        <w:t xml:space="preserve"> Reservations. Frequent failures were an A–B or A–B–A structure without three demonstrations, insufficient or incompletely reported baseline observations, unclear concurrence or staggering, and sequential conditions that did not satisfy alternating-treatment requirements. Selective outcome reporting, implementation fidelity, and unblinded outcome measurement were appraised separately in Table S3 because WWC design standards are not a complete risk-of-bias tool.</w:t>
      </w:r>
    </w:p>
    <w:p w14:paraId="1D80ADA6" w14:textId="6F655496" w:rsidR="006708D4" w:rsidRDefault="000A1276" w:rsidP="006708D4">
      <w:pPr>
        <w:pStyle w:val="MDPI52figure"/>
      </w:pPr>
      <w:r>
        <w:rPr>
          <w:noProof/>
        </w:rPr>
        <w:drawing>
          <wp:inline distT="0" distB="0" distL="0" distR="0" wp14:anchorId="6BBEF9A9" wp14:editId="4E6B46FB">
            <wp:extent cx="6477000" cy="3451860"/>
            <wp:effectExtent l="0" t="0" r="0" b="0"/>
            <wp:docPr id="1968783009" name="Picture 2" descr="The image displays a table summarizing the risk-of-bias judgments for various studies, categorized by their randomized or non-randomized design, and their overall WWC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3009" name="Picture 2" descr="The image displays a table summarizing the risk-of-bias judgments for various studies, categorized by their randomized or non-randomized design, and their overall WWC rating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3451860"/>
                    </a:xfrm>
                    <a:prstGeom prst="rect">
                      <a:avLst/>
                    </a:prstGeom>
                    <a:noFill/>
                    <a:ln>
                      <a:noFill/>
                    </a:ln>
                  </pic:spPr>
                </pic:pic>
              </a:graphicData>
            </a:graphic>
          </wp:inline>
        </w:drawing>
      </w:r>
    </w:p>
    <w:p w14:paraId="6C92691B" w14:textId="77777777" w:rsidR="006708D4" w:rsidRDefault="006708D4" w:rsidP="006708D4">
      <w:pPr>
        <w:pStyle w:val="MDPI51figurecaption"/>
        <w:keepLines/>
        <w:sectPr w:rsidR="006708D4" w:rsidSect="006708D4">
          <w:pgSz w:w="11906" w:h="16838"/>
          <w:pgMar w:top="1417" w:right="720" w:bottom="907" w:left="720" w:header="720" w:footer="612" w:gutter="0"/>
          <w:lnNumType w:countBy="1" w:distance="255" w:restart="continuous"/>
          <w:cols w:space="720"/>
          <w:formProt w:val="0"/>
          <w:docGrid w:type="lines" w:linePitch="326"/>
        </w:sectPr>
      </w:pPr>
      <w:r>
        <w:t>Figure 2. Design-stratified overall methodological appraisal of the 27 included reports. Panel (a) presents RoB 2 judgments for the two randomised reports; panel (b) presents ROBINS-I judgments for the ten non-randomised and counterbalanced within-participant reports; and panel (c) presents WWC Version 5.0 ratings for the 15 single-case reports. Full-text information was unavailable for reports [43] and [45], so WWC ratings could not be assigned. WWC ratings are the review authors’ application of published standards and are not official What Works Clearinghouse determinations. Detailed rationales and additional single-case bias considerations are reported in Table S3. Categories are framework-specific and not directly comparable across panels.</w:t>
      </w:r>
    </w:p>
    <w:p w14:paraId="47D72CAA" w14:textId="77777777" w:rsidR="006708D4" w:rsidRDefault="006708D4" w:rsidP="006708D4">
      <w:pPr>
        <w:pStyle w:val="MDPI22heading2"/>
      </w:pPr>
      <w:r>
        <w:lastRenderedPageBreak/>
        <w:t>3.3. Certainty of the Evidence</w:t>
      </w:r>
    </w:p>
    <w:p w14:paraId="24D95957" w14:textId="77777777" w:rsidR="006708D4" w:rsidRDefault="006708D4" w:rsidP="006708D4">
      <w:pPr>
        <w:pStyle w:val="MDPI31text"/>
      </w:pPr>
      <w:r>
        <w:t>Certainty was assessed for seven populated technology–outcome evidence bodies, each defined by a synthesis PICO and time point (Table S4, Panel A). The evidence profile reports the GRADE starting level and every downgrade (Table 2). Certainty was rated very low for every populated body. Four bodies contained one small study, the STT reading-related body contained one overlapping series, and the remaining bodies were dominated by small non-randomised or single-case studies.</w:t>
      </w:r>
    </w:p>
    <w:p w14:paraId="41452171" w14:textId="77777777" w:rsidR="006708D4" w:rsidRDefault="006708D4" w:rsidP="006708D4">
      <w:pPr>
        <w:pStyle w:val="MDPI41tablecaption"/>
        <w:keepNext/>
        <w:keepLines/>
      </w:pPr>
      <w:r>
        <w:rPr>
          <w:b/>
        </w:rPr>
        <w:t>Table 2.</w:t>
      </w:r>
      <w:r>
        <w:t xml:space="preserve"> GRADE evidence profile by technology–outcome evidence body.</w:t>
      </w:r>
    </w:p>
    <w:tbl>
      <w:tblPr>
        <w:tblW w:w="15300" w:type="dxa"/>
        <w:jc w:val="center"/>
        <w:tblBorders>
          <w:top w:val="single" w:sz="8" w:space="0" w:color="000000"/>
          <w:bottom w:val="single" w:sz="8" w:space="0" w:color="000000"/>
        </w:tblBorders>
        <w:tblLayout w:type="fixed"/>
        <w:tblLook w:val="04A0" w:firstRow="1" w:lastRow="0" w:firstColumn="1" w:lastColumn="0" w:noHBand="0" w:noVBand="1"/>
      </w:tblPr>
      <w:tblGrid>
        <w:gridCol w:w="2100"/>
        <w:gridCol w:w="1150"/>
        <w:gridCol w:w="2700"/>
        <w:gridCol w:w="1950"/>
        <w:gridCol w:w="1300"/>
        <w:gridCol w:w="1550"/>
        <w:gridCol w:w="1350"/>
        <w:gridCol w:w="1700"/>
        <w:gridCol w:w="1500"/>
      </w:tblGrid>
      <w:tr w:rsidR="006708D4" w:rsidRPr="006708D4" w14:paraId="55B7EAB5" w14:textId="77777777" w:rsidTr="00A41B6F">
        <w:trPr>
          <w:tblHeader/>
          <w:jc w:val="center"/>
        </w:trPr>
        <w:tc>
          <w:tcPr>
            <w:tcW w:w="2100" w:type="dxa"/>
            <w:tcBorders>
              <w:bottom w:val="single" w:sz="4" w:space="0" w:color="000000"/>
            </w:tcBorders>
            <w:tcMar>
              <w:top w:w="30" w:type="dxa"/>
              <w:left w:w="60" w:type="dxa"/>
              <w:bottom w:w="30" w:type="dxa"/>
              <w:right w:w="60" w:type="dxa"/>
            </w:tcMar>
          </w:tcPr>
          <w:p w14:paraId="1420C6CB" w14:textId="77777777" w:rsidR="006708D4" w:rsidRPr="00CF519D" w:rsidRDefault="006708D4" w:rsidP="006708D4">
            <w:pPr>
              <w:pStyle w:val="MDPI42tablebody"/>
              <w:spacing w:line="240" w:lineRule="auto"/>
              <w:rPr>
                <w:b/>
                <w:snapToGrid/>
                <w:sz w:val="16"/>
                <w:szCs w:val="16"/>
              </w:rPr>
            </w:pPr>
            <w:r w:rsidRPr="00CF519D">
              <w:rPr>
                <w:b/>
                <w:snapToGrid/>
                <w:sz w:val="16"/>
                <w:szCs w:val="16"/>
              </w:rPr>
              <w:t>Evidence body (synthesis PICO and time point)</w:t>
            </w:r>
          </w:p>
        </w:tc>
        <w:tc>
          <w:tcPr>
            <w:tcW w:w="1150" w:type="dxa"/>
            <w:tcBorders>
              <w:bottom w:val="single" w:sz="4" w:space="0" w:color="000000"/>
            </w:tcBorders>
            <w:tcMar>
              <w:top w:w="30" w:type="dxa"/>
              <w:left w:w="60" w:type="dxa"/>
              <w:bottom w:w="30" w:type="dxa"/>
              <w:right w:w="60" w:type="dxa"/>
            </w:tcMar>
          </w:tcPr>
          <w:p w14:paraId="48770BF3" w14:textId="77777777" w:rsidR="006708D4" w:rsidRPr="00CF519D" w:rsidRDefault="006708D4" w:rsidP="006708D4">
            <w:pPr>
              <w:pStyle w:val="MDPI42tablebody"/>
              <w:spacing w:line="240" w:lineRule="auto"/>
              <w:rPr>
                <w:b/>
                <w:snapToGrid/>
                <w:sz w:val="16"/>
                <w:szCs w:val="16"/>
              </w:rPr>
            </w:pPr>
            <w:r>
              <w:rPr>
                <w:b/>
              </w:rPr>
              <w:t>Series/reports; enrolled or baseline n*</w:t>
            </w:r>
          </w:p>
        </w:tc>
        <w:tc>
          <w:tcPr>
            <w:tcW w:w="2700" w:type="dxa"/>
            <w:tcBorders>
              <w:bottom w:val="single" w:sz="4" w:space="0" w:color="000000"/>
            </w:tcBorders>
            <w:tcMar>
              <w:top w:w="30" w:type="dxa"/>
              <w:left w:w="60" w:type="dxa"/>
              <w:bottom w:w="30" w:type="dxa"/>
              <w:right w:w="60" w:type="dxa"/>
            </w:tcMar>
          </w:tcPr>
          <w:p w14:paraId="1A123794" w14:textId="77777777" w:rsidR="006708D4" w:rsidRPr="00CF519D" w:rsidRDefault="006708D4" w:rsidP="006708D4">
            <w:pPr>
              <w:pStyle w:val="MDPI42tablebody"/>
              <w:spacing w:line="240" w:lineRule="auto"/>
              <w:rPr>
                <w:b/>
                <w:snapToGrid/>
                <w:sz w:val="16"/>
                <w:szCs w:val="16"/>
              </w:rPr>
            </w:pPr>
            <w:r w:rsidRPr="00CF519D">
              <w:rPr>
                <w:b/>
                <w:snapToGrid/>
                <w:sz w:val="16"/>
                <w:szCs w:val="16"/>
              </w:rPr>
              <w:t>Best available effect information</w:t>
            </w:r>
          </w:p>
        </w:tc>
        <w:tc>
          <w:tcPr>
            <w:tcW w:w="1950" w:type="dxa"/>
            <w:tcBorders>
              <w:bottom w:val="single" w:sz="4" w:space="0" w:color="000000"/>
            </w:tcBorders>
            <w:tcMar>
              <w:top w:w="30" w:type="dxa"/>
              <w:left w:w="60" w:type="dxa"/>
              <w:bottom w:w="30" w:type="dxa"/>
              <w:right w:w="60" w:type="dxa"/>
            </w:tcMar>
          </w:tcPr>
          <w:p w14:paraId="47EAFB7C" w14:textId="77777777" w:rsidR="006708D4" w:rsidRPr="00CF519D" w:rsidRDefault="006708D4" w:rsidP="006708D4">
            <w:pPr>
              <w:pStyle w:val="MDPI42tablebody"/>
              <w:spacing w:line="240" w:lineRule="auto"/>
              <w:rPr>
                <w:b/>
                <w:snapToGrid/>
                <w:sz w:val="16"/>
                <w:szCs w:val="16"/>
              </w:rPr>
            </w:pPr>
            <w:r w:rsidRPr="00CF519D">
              <w:rPr>
                <w:b/>
                <w:snapToGrid/>
                <w:sz w:val="16"/>
                <w:szCs w:val="16"/>
              </w:rPr>
              <w:t>Risk of bias</w:t>
            </w:r>
          </w:p>
        </w:tc>
        <w:tc>
          <w:tcPr>
            <w:tcW w:w="1300" w:type="dxa"/>
            <w:tcBorders>
              <w:bottom w:val="single" w:sz="4" w:space="0" w:color="000000"/>
            </w:tcBorders>
            <w:tcMar>
              <w:top w:w="30" w:type="dxa"/>
              <w:left w:w="60" w:type="dxa"/>
              <w:bottom w:w="30" w:type="dxa"/>
              <w:right w:w="60" w:type="dxa"/>
            </w:tcMar>
          </w:tcPr>
          <w:p w14:paraId="1CBEB245" w14:textId="77777777" w:rsidR="006708D4" w:rsidRPr="00CF519D" w:rsidRDefault="006708D4" w:rsidP="006708D4">
            <w:pPr>
              <w:pStyle w:val="MDPI42tablebody"/>
              <w:spacing w:line="240" w:lineRule="auto"/>
              <w:rPr>
                <w:b/>
                <w:snapToGrid/>
                <w:sz w:val="16"/>
                <w:szCs w:val="16"/>
              </w:rPr>
            </w:pPr>
            <w:r w:rsidRPr="00CF519D">
              <w:rPr>
                <w:b/>
                <w:snapToGrid/>
                <w:sz w:val="16"/>
                <w:szCs w:val="16"/>
              </w:rPr>
              <w:t>Inconsistency</w:t>
            </w:r>
          </w:p>
        </w:tc>
        <w:tc>
          <w:tcPr>
            <w:tcW w:w="1550" w:type="dxa"/>
            <w:tcBorders>
              <w:bottom w:val="single" w:sz="4" w:space="0" w:color="000000"/>
            </w:tcBorders>
            <w:tcMar>
              <w:top w:w="30" w:type="dxa"/>
              <w:left w:w="60" w:type="dxa"/>
              <w:bottom w:w="30" w:type="dxa"/>
              <w:right w:w="60" w:type="dxa"/>
            </w:tcMar>
          </w:tcPr>
          <w:p w14:paraId="5AC9BBF5" w14:textId="77777777" w:rsidR="006708D4" w:rsidRPr="00CF519D" w:rsidRDefault="006708D4" w:rsidP="006708D4">
            <w:pPr>
              <w:pStyle w:val="MDPI42tablebody"/>
              <w:spacing w:line="240" w:lineRule="auto"/>
              <w:rPr>
                <w:b/>
                <w:snapToGrid/>
                <w:sz w:val="16"/>
                <w:szCs w:val="16"/>
              </w:rPr>
            </w:pPr>
            <w:r w:rsidRPr="00CF519D">
              <w:rPr>
                <w:b/>
                <w:snapToGrid/>
                <w:sz w:val="16"/>
                <w:szCs w:val="16"/>
              </w:rPr>
              <w:t>Indirectness</w:t>
            </w:r>
          </w:p>
        </w:tc>
        <w:tc>
          <w:tcPr>
            <w:tcW w:w="1350" w:type="dxa"/>
            <w:tcBorders>
              <w:bottom w:val="single" w:sz="4" w:space="0" w:color="000000"/>
            </w:tcBorders>
            <w:tcMar>
              <w:top w:w="30" w:type="dxa"/>
              <w:left w:w="60" w:type="dxa"/>
              <w:bottom w:w="30" w:type="dxa"/>
              <w:right w:w="60" w:type="dxa"/>
            </w:tcMar>
          </w:tcPr>
          <w:p w14:paraId="083C9D5E" w14:textId="77777777" w:rsidR="006708D4" w:rsidRPr="00CF519D" w:rsidRDefault="006708D4" w:rsidP="006708D4">
            <w:pPr>
              <w:pStyle w:val="MDPI42tablebody"/>
              <w:spacing w:line="240" w:lineRule="auto"/>
              <w:rPr>
                <w:b/>
                <w:snapToGrid/>
                <w:sz w:val="16"/>
                <w:szCs w:val="16"/>
              </w:rPr>
            </w:pPr>
            <w:r w:rsidRPr="00CF519D">
              <w:rPr>
                <w:b/>
                <w:snapToGrid/>
                <w:sz w:val="16"/>
                <w:szCs w:val="16"/>
              </w:rPr>
              <w:t>Imprecision</w:t>
            </w:r>
          </w:p>
        </w:tc>
        <w:tc>
          <w:tcPr>
            <w:tcW w:w="1700" w:type="dxa"/>
            <w:tcBorders>
              <w:bottom w:val="single" w:sz="4" w:space="0" w:color="000000"/>
            </w:tcBorders>
            <w:tcMar>
              <w:top w:w="30" w:type="dxa"/>
              <w:left w:w="60" w:type="dxa"/>
              <w:bottom w:w="30" w:type="dxa"/>
              <w:right w:w="60" w:type="dxa"/>
            </w:tcMar>
          </w:tcPr>
          <w:p w14:paraId="186DE030" w14:textId="77777777" w:rsidR="006708D4" w:rsidRPr="00CF519D" w:rsidRDefault="006708D4" w:rsidP="006708D4">
            <w:pPr>
              <w:pStyle w:val="MDPI42tablebody"/>
              <w:spacing w:line="240" w:lineRule="auto"/>
              <w:rPr>
                <w:b/>
                <w:snapToGrid/>
                <w:sz w:val="16"/>
                <w:szCs w:val="16"/>
              </w:rPr>
            </w:pPr>
            <w:r w:rsidRPr="00CF519D">
              <w:rPr>
                <w:b/>
                <w:snapToGrid/>
                <w:sz w:val="16"/>
                <w:szCs w:val="16"/>
              </w:rPr>
              <w:t>Publication and non-reporting bias</w:t>
            </w:r>
          </w:p>
        </w:tc>
        <w:tc>
          <w:tcPr>
            <w:tcW w:w="1500" w:type="dxa"/>
            <w:tcBorders>
              <w:bottom w:val="single" w:sz="4" w:space="0" w:color="000000"/>
            </w:tcBorders>
            <w:tcMar>
              <w:top w:w="30" w:type="dxa"/>
              <w:left w:w="60" w:type="dxa"/>
              <w:bottom w:w="30" w:type="dxa"/>
              <w:right w:w="60" w:type="dxa"/>
            </w:tcMar>
          </w:tcPr>
          <w:p w14:paraId="4A3E5E63" w14:textId="77777777" w:rsidR="006708D4" w:rsidRPr="00CF519D" w:rsidRDefault="006708D4" w:rsidP="006708D4">
            <w:pPr>
              <w:pStyle w:val="MDPI42tablebody"/>
              <w:spacing w:line="240" w:lineRule="auto"/>
              <w:rPr>
                <w:b/>
                <w:snapToGrid/>
                <w:sz w:val="16"/>
                <w:szCs w:val="16"/>
              </w:rPr>
            </w:pPr>
            <w:r w:rsidRPr="00CF519D">
              <w:rPr>
                <w:b/>
                <w:snapToGrid/>
                <w:sz w:val="16"/>
                <w:szCs w:val="16"/>
              </w:rPr>
              <w:t xml:space="preserve">Starting level </w:t>
            </w:r>
            <w:r w:rsidRPr="00CF519D">
              <w:rPr>
                <w:rFonts w:ascii="Arial" w:hAnsi="Arial" w:cs="Arial"/>
                <w:b/>
                <w:snapToGrid/>
                <w:sz w:val="16"/>
                <w:szCs w:val="16"/>
              </w:rPr>
              <w:t>→</w:t>
            </w:r>
            <w:r w:rsidRPr="00CF519D">
              <w:rPr>
                <w:b/>
                <w:snapToGrid/>
                <w:sz w:val="16"/>
                <w:szCs w:val="16"/>
              </w:rPr>
              <w:t xml:space="preserve"> certainty</w:t>
            </w:r>
          </w:p>
        </w:tc>
      </w:tr>
      <w:tr w:rsidR="006708D4" w:rsidRPr="006708D4" w14:paraId="7242870A" w14:textId="77777777" w:rsidTr="00A41B6F">
        <w:trPr>
          <w:jc w:val="center"/>
        </w:trPr>
        <w:tc>
          <w:tcPr>
            <w:tcW w:w="2100" w:type="dxa"/>
            <w:tcMar>
              <w:top w:w="30" w:type="dxa"/>
              <w:left w:w="60" w:type="dxa"/>
              <w:bottom w:w="30" w:type="dxa"/>
              <w:right w:w="60" w:type="dxa"/>
            </w:tcMar>
          </w:tcPr>
          <w:p w14:paraId="0BB40D6E" w14:textId="77777777" w:rsidR="006708D4" w:rsidRPr="00CF519D" w:rsidRDefault="006708D4" w:rsidP="00A41B6F">
            <w:pPr>
              <w:pStyle w:val="MDPI42tablebody"/>
              <w:jc w:val="left"/>
              <w:rPr>
                <w:sz w:val="16"/>
                <w:szCs w:val="16"/>
              </w:rPr>
            </w:pPr>
            <w:r w:rsidRPr="00CF519D">
              <w:rPr>
                <w:sz w:val="16"/>
                <w:szCs w:val="16"/>
              </w:rPr>
              <w:t>STT-supported writing practice versus general computer instruction: word recognition, spelling, and reading comprehension at post-intervention [23,24]</w:t>
            </w:r>
          </w:p>
        </w:tc>
        <w:tc>
          <w:tcPr>
            <w:tcW w:w="1150" w:type="dxa"/>
            <w:tcMar>
              <w:top w:w="30" w:type="dxa"/>
              <w:left w:w="60" w:type="dxa"/>
              <w:bottom w:w="30" w:type="dxa"/>
              <w:right w:w="60" w:type="dxa"/>
            </w:tcMar>
          </w:tcPr>
          <w:p w14:paraId="1573E91D" w14:textId="77777777" w:rsidR="006708D4" w:rsidRPr="00CF519D" w:rsidRDefault="006708D4" w:rsidP="00A41B6F">
            <w:pPr>
              <w:pStyle w:val="MDPI42tablebody"/>
              <w:jc w:val="left"/>
              <w:rPr>
                <w:sz w:val="16"/>
                <w:szCs w:val="16"/>
              </w:rPr>
            </w:pPr>
            <w:r w:rsidRPr="00CF519D">
              <w:rPr>
                <w:sz w:val="16"/>
                <w:szCs w:val="16"/>
              </w:rPr>
              <w:t>1 series / 2 reports; 52 learners</w:t>
            </w:r>
          </w:p>
        </w:tc>
        <w:tc>
          <w:tcPr>
            <w:tcW w:w="2700" w:type="dxa"/>
            <w:tcMar>
              <w:top w:w="30" w:type="dxa"/>
              <w:left w:w="60" w:type="dxa"/>
              <w:bottom w:w="30" w:type="dxa"/>
              <w:right w:w="60" w:type="dxa"/>
            </w:tcMar>
          </w:tcPr>
          <w:p w14:paraId="1AC2C133" w14:textId="77777777" w:rsidR="006708D4" w:rsidRPr="00CF519D" w:rsidRDefault="006708D4" w:rsidP="00A41B6F">
            <w:pPr>
              <w:pStyle w:val="MDPI42tablebody"/>
              <w:jc w:val="left"/>
              <w:rPr>
                <w:sz w:val="16"/>
                <w:szCs w:val="16"/>
              </w:rPr>
            </w:pPr>
            <w:r w:rsidRPr="00CF519D">
              <w:rPr>
                <w:sz w:val="16"/>
                <w:szCs w:val="16"/>
              </w:rPr>
              <w:t xml:space="preserve">No effect </w:t>
            </w:r>
            <w:proofErr w:type="gramStart"/>
            <w:r w:rsidRPr="00CF519D">
              <w:rPr>
                <w:sz w:val="16"/>
                <w:szCs w:val="16"/>
              </w:rPr>
              <w:t>estimate</w:t>
            </w:r>
            <w:proofErr w:type="gramEnd"/>
            <w:r w:rsidRPr="00CF519D">
              <w:rPr>
                <w:sz w:val="16"/>
                <w:szCs w:val="16"/>
              </w:rPr>
              <w:t xml:space="preserve"> or confidence interval reported. Direction favoured STT on all four measures (p &lt; 0.0001 to p &lt; 0.04).</w:t>
            </w:r>
          </w:p>
        </w:tc>
        <w:tc>
          <w:tcPr>
            <w:tcW w:w="1950" w:type="dxa"/>
            <w:tcMar>
              <w:top w:w="30" w:type="dxa"/>
              <w:left w:w="60" w:type="dxa"/>
              <w:bottom w:w="30" w:type="dxa"/>
              <w:right w:w="60" w:type="dxa"/>
            </w:tcMar>
          </w:tcPr>
          <w:p w14:paraId="3C7A75D4" w14:textId="77777777" w:rsidR="006708D4" w:rsidRPr="00CF519D" w:rsidRDefault="006708D4" w:rsidP="00A41B6F">
            <w:pPr>
              <w:pStyle w:val="MDPI42tablebody"/>
              <w:jc w:val="left"/>
              <w:rPr>
                <w:sz w:val="16"/>
                <w:szCs w:val="16"/>
              </w:rPr>
            </w:pPr>
            <w:r w:rsidRPr="00CF519D">
              <w:rPr>
                <w:sz w:val="16"/>
                <w:szCs w:val="16"/>
              </w:rPr>
              <w:t>Very serious (−2): non-random allocation; overlapping, non-concurrent comparison groups; prespecified analysis not documented</w:t>
            </w:r>
          </w:p>
        </w:tc>
        <w:tc>
          <w:tcPr>
            <w:tcW w:w="1300" w:type="dxa"/>
            <w:tcMar>
              <w:top w:w="30" w:type="dxa"/>
              <w:left w:w="60" w:type="dxa"/>
              <w:bottom w:w="30" w:type="dxa"/>
              <w:right w:w="60" w:type="dxa"/>
            </w:tcMar>
          </w:tcPr>
          <w:p w14:paraId="4107179D" w14:textId="77777777" w:rsidR="006708D4" w:rsidRPr="00CF519D" w:rsidRDefault="006708D4" w:rsidP="00A41B6F">
            <w:pPr>
              <w:pStyle w:val="MDPI42tablebody"/>
              <w:jc w:val="left"/>
              <w:rPr>
                <w:sz w:val="16"/>
                <w:szCs w:val="16"/>
              </w:rPr>
            </w:pPr>
            <w:r w:rsidRPr="00CF519D">
              <w:rPr>
                <w:sz w:val="16"/>
                <w:szCs w:val="16"/>
              </w:rPr>
              <w:t>Not assessable (single study series)</w:t>
            </w:r>
          </w:p>
        </w:tc>
        <w:tc>
          <w:tcPr>
            <w:tcW w:w="1550" w:type="dxa"/>
            <w:tcMar>
              <w:top w:w="30" w:type="dxa"/>
              <w:left w:w="60" w:type="dxa"/>
              <w:bottom w:w="30" w:type="dxa"/>
              <w:right w:w="60" w:type="dxa"/>
            </w:tcMar>
          </w:tcPr>
          <w:p w14:paraId="4821B475" w14:textId="77777777" w:rsidR="006708D4" w:rsidRPr="00CF519D" w:rsidRDefault="006708D4" w:rsidP="00A41B6F">
            <w:pPr>
              <w:pStyle w:val="MDPI42tablebody"/>
              <w:jc w:val="left"/>
              <w:rPr>
                <w:sz w:val="16"/>
                <w:szCs w:val="16"/>
              </w:rPr>
            </w:pPr>
            <w:r w:rsidRPr="00CF519D">
              <w:rPr>
                <w:sz w:val="16"/>
                <w:szCs w:val="16"/>
              </w:rPr>
              <w:t>Serious (−1): legacy discrete-speech systems; STT combined with remediation</w:t>
            </w:r>
          </w:p>
        </w:tc>
        <w:tc>
          <w:tcPr>
            <w:tcW w:w="1350" w:type="dxa"/>
            <w:tcMar>
              <w:top w:w="30" w:type="dxa"/>
              <w:left w:w="60" w:type="dxa"/>
              <w:bottom w:w="30" w:type="dxa"/>
              <w:right w:w="60" w:type="dxa"/>
            </w:tcMar>
          </w:tcPr>
          <w:p w14:paraId="5014BED9" w14:textId="77777777" w:rsidR="006708D4" w:rsidRPr="00CF519D" w:rsidRDefault="006708D4" w:rsidP="00A41B6F">
            <w:pPr>
              <w:pStyle w:val="MDPI42tablebody"/>
              <w:jc w:val="left"/>
              <w:rPr>
                <w:sz w:val="16"/>
                <w:szCs w:val="16"/>
              </w:rPr>
            </w:pPr>
            <w:r w:rsidRPr="00CF519D">
              <w:rPr>
                <w:sz w:val="16"/>
                <w:szCs w:val="16"/>
              </w:rPr>
              <w:t>Serious (−1): one series; no effect estimate or interval</w:t>
            </w:r>
          </w:p>
        </w:tc>
        <w:tc>
          <w:tcPr>
            <w:tcW w:w="1700" w:type="dxa"/>
            <w:tcMar>
              <w:top w:w="30" w:type="dxa"/>
              <w:left w:w="60" w:type="dxa"/>
              <w:bottom w:w="30" w:type="dxa"/>
              <w:right w:w="60" w:type="dxa"/>
            </w:tcMar>
          </w:tcPr>
          <w:p w14:paraId="46EA7C93" w14:textId="77777777" w:rsidR="006708D4" w:rsidRPr="00CF519D" w:rsidRDefault="006708D4" w:rsidP="00A41B6F">
            <w:pPr>
              <w:pStyle w:val="MDPI42tablebody"/>
              <w:jc w:val="left"/>
              <w:rPr>
                <w:sz w:val="16"/>
                <w:szCs w:val="16"/>
              </w:rPr>
            </w:pPr>
            <w:r w:rsidRPr="00CF519D">
              <w:rPr>
                <w:sz w:val="16"/>
                <w:szCs w:val="16"/>
              </w:rPr>
              <w:t>Undetected but suspected: single published series; English-language, peer-reviewed-only search</w:t>
            </w:r>
          </w:p>
        </w:tc>
        <w:tc>
          <w:tcPr>
            <w:tcW w:w="1500" w:type="dxa"/>
            <w:tcMar>
              <w:top w:w="30" w:type="dxa"/>
              <w:left w:w="60" w:type="dxa"/>
              <w:bottom w:w="30" w:type="dxa"/>
              <w:right w:w="60" w:type="dxa"/>
            </w:tcMar>
          </w:tcPr>
          <w:p w14:paraId="2CB9E2E7" w14:textId="77777777" w:rsidR="006708D4" w:rsidRPr="00CF519D" w:rsidRDefault="006708D4" w:rsidP="00A41B6F">
            <w:pPr>
              <w:pStyle w:val="MDPI42tablebody"/>
              <w:jc w:val="left"/>
              <w:rPr>
                <w:sz w:val="16"/>
                <w:szCs w:val="16"/>
              </w:rPr>
            </w:pPr>
            <w:r w:rsidRPr="00CF519D">
              <w:rPr>
                <w:sz w:val="16"/>
                <w:szCs w:val="16"/>
              </w:rPr>
              <w:t>Low (non-randomised) → Very low</w:t>
            </w:r>
          </w:p>
        </w:tc>
      </w:tr>
      <w:tr w:rsidR="006708D4" w:rsidRPr="006708D4" w14:paraId="32069A10" w14:textId="77777777" w:rsidTr="00A41B6F">
        <w:trPr>
          <w:jc w:val="center"/>
        </w:trPr>
        <w:tc>
          <w:tcPr>
            <w:tcW w:w="2100" w:type="dxa"/>
            <w:tcMar>
              <w:top w:w="30" w:type="dxa"/>
              <w:left w:w="60" w:type="dxa"/>
              <w:bottom w:w="30" w:type="dxa"/>
              <w:right w:w="60" w:type="dxa"/>
            </w:tcMar>
          </w:tcPr>
          <w:p w14:paraId="7D4383A3" w14:textId="77777777" w:rsidR="006708D4" w:rsidRPr="00CF519D" w:rsidRDefault="006708D4" w:rsidP="00A41B6F">
            <w:pPr>
              <w:pStyle w:val="MDPI42tablebody"/>
              <w:jc w:val="left"/>
              <w:rPr>
                <w:sz w:val="16"/>
                <w:szCs w:val="16"/>
              </w:rPr>
            </w:pPr>
            <w:r w:rsidRPr="00CF519D">
              <w:rPr>
                <w:sz w:val="16"/>
                <w:szCs w:val="16"/>
              </w:rPr>
              <w:t>STT versus handwriting, keyboarding, or baseline writing: written productivity, accuracy, and text quality at post-intervention or immediate comparison [25–28,49]</w:t>
            </w:r>
          </w:p>
        </w:tc>
        <w:tc>
          <w:tcPr>
            <w:tcW w:w="1150" w:type="dxa"/>
            <w:tcMar>
              <w:top w:w="30" w:type="dxa"/>
              <w:left w:w="60" w:type="dxa"/>
              <w:bottom w:w="30" w:type="dxa"/>
              <w:right w:w="60" w:type="dxa"/>
            </w:tcMar>
          </w:tcPr>
          <w:p w14:paraId="221E11E8" w14:textId="77777777" w:rsidR="006708D4" w:rsidRPr="00CF519D" w:rsidRDefault="006708D4" w:rsidP="00A41B6F">
            <w:pPr>
              <w:pStyle w:val="MDPI42tablebody"/>
              <w:jc w:val="left"/>
              <w:rPr>
                <w:sz w:val="16"/>
                <w:szCs w:val="16"/>
              </w:rPr>
            </w:pPr>
            <w:r w:rsidRPr="00CF519D">
              <w:rPr>
                <w:sz w:val="16"/>
                <w:szCs w:val="16"/>
              </w:rPr>
              <w:t>5 series / 5 reports; 56 learners</w:t>
            </w:r>
          </w:p>
        </w:tc>
        <w:tc>
          <w:tcPr>
            <w:tcW w:w="2700" w:type="dxa"/>
            <w:tcMar>
              <w:top w:w="30" w:type="dxa"/>
              <w:left w:w="60" w:type="dxa"/>
              <w:bottom w:w="30" w:type="dxa"/>
              <w:right w:w="60" w:type="dxa"/>
            </w:tcMar>
          </w:tcPr>
          <w:p w14:paraId="76A1B756" w14:textId="77777777" w:rsidR="006708D4" w:rsidRPr="00CF519D" w:rsidRDefault="006708D4" w:rsidP="00A41B6F">
            <w:pPr>
              <w:pStyle w:val="MDPI42tablebody"/>
              <w:jc w:val="left"/>
              <w:rPr>
                <w:sz w:val="16"/>
                <w:szCs w:val="16"/>
              </w:rPr>
            </w:pPr>
            <w:r w:rsidRPr="00CF519D">
              <w:rPr>
                <w:sz w:val="16"/>
                <w:szCs w:val="16"/>
              </w:rPr>
              <w:t>NAP 0.93–1.00 for words, sentences, and content units [28]; PEM 30–100% for text length and 10–100% for text quality [27]; fewer residual errors with STT (</w:t>
            </w:r>
            <w:proofErr w:type="gramStart"/>
            <w:r w:rsidRPr="00CF519D">
              <w:rPr>
                <w:sz w:val="16"/>
                <w:szCs w:val="16"/>
              </w:rPr>
              <w:t>F(</w:t>
            </w:r>
            <w:proofErr w:type="gramEnd"/>
            <w:r w:rsidRPr="00CF519D">
              <w:rPr>
                <w:sz w:val="16"/>
                <w:szCs w:val="16"/>
              </w:rPr>
              <w:t>1,52) = 14.92, p &lt; 0.001, partial η² = 0.22) with no text-quality difference (p = 0.95) [49]; no group estimate with a confidence interval.</w:t>
            </w:r>
          </w:p>
        </w:tc>
        <w:tc>
          <w:tcPr>
            <w:tcW w:w="1950" w:type="dxa"/>
            <w:tcMar>
              <w:top w:w="30" w:type="dxa"/>
              <w:left w:w="60" w:type="dxa"/>
              <w:bottom w:w="30" w:type="dxa"/>
              <w:right w:w="60" w:type="dxa"/>
            </w:tcMar>
          </w:tcPr>
          <w:p w14:paraId="35035814" w14:textId="77777777" w:rsidR="006708D4" w:rsidRPr="00CF519D" w:rsidRDefault="006708D4" w:rsidP="00A41B6F">
            <w:pPr>
              <w:pStyle w:val="MDPI42tablebody"/>
              <w:jc w:val="left"/>
              <w:rPr>
                <w:sz w:val="16"/>
                <w:szCs w:val="16"/>
              </w:rPr>
            </w:pPr>
            <w:r w:rsidRPr="00CF519D">
              <w:rPr>
                <w:sz w:val="16"/>
                <w:szCs w:val="16"/>
              </w:rPr>
              <w:t>Very serious (−2): two counterbalanced within-participant studies at moderate risk and three single-case studies that did not meet WWC standards</w:t>
            </w:r>
          </w:p>
        </w:tc>
        <w:tc>
          <w:tcPr>
            <w:tcW w:w="1300" w:type="dxa"/>
            <w:tcMar>
              <w:top w:w="30" w:type="dxa"/>
              <w:left w:w="60" w:type="dxa"/>
              <w:bottom w:w="30" w:type="dxa"/>
              <w:right w:w="60" w:type="dxa"/>
            </w:tcMar>
          </w:tcPr>
          <w:p w14:paraId="5C56B83A" w14:textId="77777777" w:rsidR="006708D4" w:rsidRPr="00CF519D" w:rsidRDefault="006708D4" w:rsidP="00A41B6F">
            <w:pPr>
              <w:pStyle w:val="MDPI42tablebody"/>
              <w:jc w:val="left"/>
              <w:rPr>
                <w:sz w:val="16"/>
                <w:szCs w:val="16"/>
              </w:rPr>
            </w:pPr>
            <w:r w:rsidRPr="00CF519D">
              <w:rPr>
                <w:sz w:val="16"/>
                <w:szCs w:val="16"/>
              </w:rPr>
              <w:t>Serious (−1): learner- and outcome-dependent effects; productivity and accuracy gains without consistent quality gains</w:t>
            </w:r>
          </w:p>
        </w:tc>
        <w:tc>
          <w:tcPr>
            <w:tcW w:w="1550" w:type="dxa"/>
            <w:tcMar>
              <w:top w:w="30" w:type="dxa"/>
              <w:left w:w="60" w:type="dxa"/>
              <w:bottom w:w="30" w:type="dxa"/>
              <w:right w:w="60" w:type="dxa"/>
            </w:tcMar>
          </w:tcPr>
          <w:p w14:paraId="05E6756C" w14:textId="77777777" w:rsidR="006708D4" w:rsidRPr="00CF519D" w:rsidRDefault="006708D4" w:rsidP="00A41B6F">
            <w:pPr>
              <w:pStyle w:val="MDPI42tablebody"/>
              <w:jc w:val="left"/>
              <w:rPr>
                <w:sz w:val="16"/>
                <w:szCs w:val="16"/>
              </w:rPr>
            </w:pPr>
            <w:r w:rsidRPr="00CF519D">
              <w:rPr>
                <w:sz w:val="16"/>
                <w:szCs w:val="16"/>
              </w:rPr>
              <w:t>Serious (−1): STT frequently combined with explicit instruction and TTS-supported revision; two single-session accommodation comparisons</w:t>
            </w:r>
          </w:p>
        </w:tc>
        <w:tc>
          <w:tcPr>
            <w:tcW w:w="1350" w:type="dxa"/>
            <w:tcMar>
              <w:top w:w="30" w:type="dxa"/>
              <w:left w:w="60" w:type="dxa"/>
              <w:bottom w:w="30" w:type="dxa"/>
              <w:right w:w="60" w:type="dxa"/>
            </w:tcMar>
          </w:tcPr>
          <w:p w14:paraId="7533565F" w14:textId="77777777" w:rsidR="006708D4" w:rsidRPr="00CF519D" w:rsidRDefault="006708D4" w:rsidP="00A41B6F">
            <w:pPr>
              <w:pStyle w:val="MDPI42tablebody"/>
              <w:jc w:val="left"/>
              <w:rPr>
                <w:sz w:val="16"/>
                <w:szCs w:val="16"/>
              </w:rPr>
            </w:pPr>
            <w:r w:rsidRPr="00CF519D">
              <w:rPr>
                <w:sz w:val="16"/>
                <w:szCs w:val="16"/>
              </w:rPr>
              <w:t>Serious (−1): small samples; unstable individual estimates</w:t>
            </w:r>
          </w:p>
        </w:tc>
        <w:tc>
          <w:tcPr>
            <w:tcW w:w="1700" w:type="dxa"/>
            <w:tcMar>
              <w:top w:w="30" w:type="dxa"/>
              <w:left w:w="60" w:type="dxa"/>
              <w:bottom w:w="30" w:type="dxa"/>
              <w:right w:w="60" w:type="dxa"/>
            </w:tcMar>
          </w:tcPr>
          <w:p w14:paraId="4D8565CF" w14:textId="77777777" w:rsidR="006708D4" w:rsidRPr="00CF519D" w:rsidRDefault="006708D4" w:rsidP="00A41B6F">
            <w:pPr>
              <w:pStyle w:val="MDPI42tablebody"/>
              <w:jc w:val="left"/>
              <w:rPr>
                <w:sz w:val="16"/>
                <w:szCs w:val="16"/>
              </w:rPr>
            </w:pPr>
            <w:r w:rsidRPr="00CF519D">
              <w:rPr>
                <w:sz w:val="16"/>
                <w:szCs w:val="16"/>
              </w:rPr>
              <w:t>Undetected but suspected: five small published series; no protocol registration located for source studies</w:t>
            </w:r>
          </w:p>
        </w:tc>
        <w:tc>
          <w:tcPr>
            <w:tcW w:w="1500" w:type="dxa"/>
            <w:tcMar>
              <w:top w:w="30" w:type="dxa"/>
              <w:left w:w="60" w:type="dxa"/>
              <w:bottom w:w="30" w:type="dxa"/>
              <w:right w:w="60" w:type="dxa"/>
            </w:tcMar>
          </w:tcPr>
          <w:p w14:paraId="119F943D" w14:textId="77777777" w:rsidR="006708D4" w:rsidRPr="00CF519D" w:rsidRDefault="006708D4" w:rsidP="00A41B6F">
            <w:pPr>
              <w:pStyle w:val="MDPI42tablebody"/>
              <w:jc w:val="left"/>
              <w:rPr>
                <w:sz w:val="16"/>
                <w:szCs w:val="16"/>
              </w:rPr>
            </w:pPr>
            <w:r w:rsidRPr="00CF519D">
              <w:rPr>
                <w:sz w:val="16"/>
                <w:szCs w:val="16"/>
              </w:rPr>
              <w:t>Low (single-case and non-randomised) → Very low</w:t>
            </w:r>
          </w:p>
        </w:tc>
      </w:tr>
      <w:tr w:rsidR="006708D4" w:rsidRPr="006708D4" w14:paraId="5DA68C90" w14:textId="77777777" w:rsidTr="00A41B6F">
        <w:trPr>
          <w:jc w:val="center"/>
        </w:trPr>
        <w:tc>
          <w:tcPr>
            <w:tcW w:w="2100" w:type="dxa"/>
            <w:tcMar>
              <w:top w:w="30" w:type="dxa"/>
              <w:left w:w="60" w:type="dxa"/>
              <w:bottom w:w="30" w:type="dxa"/>
              <w:right w:w="60" w:type="dxa"/>
            </w:tcMar>
          </w:tcPr>
          <w:p w14:paraId="4251309A" w14:textId="77777777" w:rsidR="006708D4" w:rsidRPr="00CF519D" w:rsidRDefault="006708D4" w:rsidP="00A41B6F">
            <w:pPr>
              <w:pStyle w:val="MDPI42tablebody"/>
              <w:jc w:val="left"/>
              <w:rPr>
                <w:sz w:val="16"/>
                <w:szCs w:val="16"/>
              </w:rPr>
            </w:pPr>
            <w:r w:rsidRPr="00CF519D">
              <w:rPr>
                <w:sz w:val="16"/>
                <w:szCs w:val="16"/>
              </w:rPr>
              <w:t>TTS or mixed TTS/STT versus unsupported reading, treatment as usual, or an alternative accommodation: reading and listening comprehension at the first post-intervention or condition comparison [30–35,39–48]</w:t>
            </w:r>
          </w:p>
        </w:tc>
        <w:tc>
          <w:tcPr>
            <w:tcW w:w="1150" w:type="dxa"/>
            <w:tcMar>
              <w:top w:w="30" w:type="dxa"/>
              <w:left w:w="60" w:type="dxa"/>
              <w:bottom w:w="30" w:type="dxa"/>
              <w:right w:w="60" w:type="dxa"/>
            </w:tcMar>
          </w:tcPr>
          <w:p w14:paraId="3FC26727" w14:textId="77777777" w:rsidR="006708D4" w:rsidRPr="00CF519D" w:rsidRDefault="006708D4" w:rsidP="00A41B6F">
            <w:pPr>
              <w:pStyle w:val="MDPI42tablebody"/>
              <w:jc w:val="left"/>
              <w:rPr>
                <w:sz w:val="16"/>
                <w:szCs w:val="16"/>
              </w:rPr>
            </w:pPr>
            <w:r w:rsidRPr="00CF519D">
              <w:rPr>
                <w:sz w:val="16"/>
                <w:szCs w:val="16"/>
              </w:rPr>
              <w:t>16 series / 16 reports; 418 learners</w:t>
            </w:r>
          </w:p>
        </w:tc>
        <w:tc>
          <w:tcPr>
            <w:tcW w:w="2700" w:type="dxa"/>
            <w:tcMar>
              <w:top w:w="30" w:type="dxa"/>
              <w:left w:w="60" w:type="dxa"/>
              <w:bottom w:w="30" w:type="dxa"/>
              <w:right w:w="60" w:type="dxa"/>
            </w:tcMar>
          </w:tcPr>
          <w:p w14:paraId="1FFC0987" w14:textId="77777777" w:rsidR="006708D4" w:rsidRPr="00CF519D" w:rsidRDefault="006708D4" w:rsidP="00A41B6F">
            <w:pPr>
              <w:pStyle w:val="MDPI42tablebody"/>
              <w:jc w:val="left"/>
              <w:rPr>
                <w:sz w:val="16"/>
                <w:szCs w:val="16"/>
              </w:rPr>
            </w:pPr>
            <w:r>
              <w:t xml:space="preserve">Largest controlled mixed TTS/STT study (n = 149; serious risk): </w:t>
            </w:r>
            <w:proofErr w:type="gramStart"/>
            <w:r>
              <w:t>no</w:t>
            </w:r>
            <w:proofErr w:type="gramEnd"/>
            <w:r>
              <w:t xml:space="preserve"> statistically detectable between-group difference at post-intervention or 1 year. Randomised crossover (n = 49): comprehension benefit reported in grades 3–</w:t>
            </w:r>
            <w:r>
              <w:lastRenderedPageBreak/>
              <w:t>5 only; reading rate improved in both grade groups. Within-participant study (n = 94): only the dyslexic profile had a statistically significant within-profile gain; the source-reported contrast was a 1.58-point grade-equivalent score difference. Multiple-baseline study (n = 3): no statistically detectable difference in fluency, comprehension, or completion time. Only two reports supplied a confidence interval.</w:t>
            </w:r>
          </w:p>
        </w:tc>
        <w:tc>
          <w:tcPr>
            <w:tcW w:w="1950" w:type="dxa"/>
            <w:tcMar>
              <w:top w:w="30" w:type="dxa"/>
              <w:left w:w="60" w:type="dxa"/>
              <w:bottom w:w="30" w:type="dxa"/>
              <w:right w:w="60" w:type="dxa"/>
            </w:tcMar>
          </w:tcPr>
          <w:p w14:paraId="23064906" w14:textId="77777777" w:rsidR="006708D4" w:rsidRPr="00CF519D" w:rsidRDefault="006708D4" w:rsidP="00A41B6F">
            <w:pPr>
              <w:pStyle w:val="MDPI42tablebody"/>
              <w:jc w:val="left"/>
              <w:rPr>
                <w:sz w:val="16"/>
                <w:szCs w:val="16"/>
              </w:rPr>
            </w:pPr>
            <w:r>
              <w:lastRenderedPageBreak/>
              <w:t xml:space="preserve">Serious (−1): one crossover trial with some concerns; three non-randomised studies at moderate and two at serious risk; ten single-case reports, six </w:t>
            </w:r>
            <w:r>
              <w:lastRenderedPageBreak/>
              <w:t>meeting WWC standards with reservations, two not meeting standards, and two not assessable from abstracts; additional bias-domain concerns were frequent</w:t>
            </w:r>
          </w:p>
        </w:tc>
        <w:tc>
          <w:tcPr>
            <w:tcW w:w="1300" w:type="dxa"/>
            <w:tcMar>
              <w:top w:w="30" w:type="dxa"/>
              <w:left w:w="60" w:type="dxa"/>
              <w:bottom w:w="30" w:type="dxa"/>
              <w:right w:w="60" w:type="dxa"/>
            </w:tcMar>
          </w:tcPr>
          <w:p w14:paraId="432C41DF" w14:textId="77777777" w:rsidR="006708D4" w:rsidRPr="00CF519D" w:rsidRDefault="006708D4" w:rsidP="00A41B6F">
            <w:pPr>
              <w:pStyle w:val="MDPI42tablebody"/>
              <w:jc w:val="left"/>
              <w:rPr>
                <w:sz w:val="16"/>
                <w:szCs w:val="16"/>
              </w:rPr>
            </w:pPr>
            <w:r w:rsidRPr="00CF519D">
              <w:rPr>
                <w:sz w:val="16"/>
                <w:szCs w:val="16"/>
              </w:rPr>
              <w:lastRenderedPageBreak/>
              <w:t xml:space="preserve">Very serious (−2): direction and magnitude differed by learner profile, grade group, cognitive subtype, </w:t>
            </w:r>
            <w:r w:rsidRPr="00CF519D">
              <w:rPr>
                <w:sz w:val="16"/>
                <w:szCs w:val="16"/>
              </w:rPr>
              <w:lastRenderedPageBreak/>
              <w:t>comparator, and outcome</w:t>
            </w:r>
          </w:p>
        </w:tc>
        <w:tc>
          <w:tcPr>
            <w:tcW w:w="1550" w:type="dxa"/>
            <w:tcMar>
              <w:top w:w="30" w:type="dxa"/>
              <w:left w:w="60" w:type="dxa"/>
              <w:bottom w:w="30" w:type="dxa"/>
              <w:right w:w="60" w:type="dxa"/>
            </w:tcMar>
          </w:tcPr>
          <w:p w14:paraId="13E7E7EC" w14:textId="77777777" w:rsidR="006708D4" w:rsidRPr="00CF519D" w:rsidRDefault="006708D4" w:rsidP="00A41B6F">
            <w:pPr>
              <w:pStyle w:val="MDPI42tablebody"/>
              <w:jc w:val="left"/>
              <w:rPr>
                <w:sz w:val="16"/>
                <w:szCs w:val="16"/>
              </w:rPr>
            </w:pPr>
            <w:r w:rsidRPr="00CF519D">
              <w:rPr>
                <w:sz w:val="16"/>
                <w:szCs w:val="16"/>
              </w:rPr>
              <w:lastRenderedPageBreak/>
              <w:t>Serious (−1): heterogeneous tasks and comparators; short exposure in most studies; technology frequently combined with instruction</w:t>
            </w:r>
          </w:p>
        </w:tc>
        <w:tc>
          <w:tcPr>
            <w:tcW w:w="1350" w:type="dxa"/>
            <w:tcMar>
              <w:top w:w="30" w:type="dxa"/>
              <w:left w:w="60" w:type="dxa"/>
              <w:bottom w:w="30" w:type="dxa"/>
              <w:right w:w="60" w:type="dxa"/>
            </w:tcMar>
          </w:tcPr>
          <w:p w14:paraId="42B90F64" w14:textId="77777777" w:rsidR="006708D4" w:rsidRPr="00CF519D" w:rsidRDefault="006708D4" w:rsidP="00A41B6F">
            <w:pPr>
              <w:pStyle w:val="MDPI42tablebody"/>
              <w:jc w:val="left"/>
              <w:rPr>
                <w:sz w:val="16"/>
                <w:szCs w:val="16"/>
              </w:rPr>
            </w:pPr>
            <w:r w:rsidRPr="00CF519D">
              <w:rPr>
                <w:sz w:val="16"/>
                <w:szCs w:val="16"/>
              </w:rPr>
              <w:t xml:space="preserve">Serious (−1): apart from one study of 149 learners, estimates were based on fewer than 100 learners </w:t>
            </w:r>
            <w:r w:rsidRPr="00CF519D">
              <w:rPr>
                <w:sz w:val="16"/>
                <w:szCs w:val="16"/>
              </w:rPr>
              <w:lastRenderedPageBreak/>
              <w:t>and most on fewer than 10</w:t>
            </w:r>
          </w:p>
        </w:tc>
        <w:tc>
          <w:tcPr>
            <w:tcW w:w="1700" w:type="dxa"/>
            <w:tcMar>
              <w:top w:w="30" w:type="dxa"/>
              <w:left w:w="60" w:type="dxa"/>
              <w:bottom w:w="30" w:type="dxa"/>
              <w:right w:w="60" w:type="dxa"/>
            </w:tcMar>
          </w:tcPr>
          <w:p w14:paraId="5090542E" w14:textId="77777777" w:rsidR="006708D4" w:rsidRPr="00CF519D" w:rsidRDefault="006708D4" w:rsidP="00A41B6F">
            <w:pPr>
              <w:pStyle w:val="MDPI42tablebody"/>
              <w:jc w:val="left"/>
              <w:rPr>
                <w:sz w:val="16"/>
                <w:szCs w:val="16"/>
              </w:rPr>
            </w:pPr>
            <w:r w:rsidRPr="00CF519D">
              <w:rPr>
                <w:sz w:val="16"/>
                <w:szCs w:val="16"/>
              </w:rPr>
              <w:lastRenderedPageBreak/>
              <w:t>Undetected but suspected: predominantly small studies; eligible reports were located after the search closed; no grey literature, non-</w:t>
            </w:r>
            <w:r w:rsidRPr="00CF519D">
              <w:rPr>
                <w:sz w:val="16"/>
                <w:szCs w:val="16"/>
              </w:rPr>
              <w:lastRenderedPageBreak/>
              <w:t>English, or register sources searched</w:t>
            </w:r>
          </w:p>
        </w:tc>
        <w:tc>
          <w:tcPr>
            <w:tcW w:w="1500" w:type="dxa"/>
            <w:tcMar>
              <w:top w:w="30" w:type="dxa"/>
              <w:left w:w="60" w:type="dxa"/>
              <w:bottom w:w="30" w:type="dxa"/>
              <w:right w:w="60" w:type="dxa"/>
            </w:tcMar>
          </w:tcPr>
          <w:p w14:paraId="4BFA5548" w14:textId="77777777" w:rsidR="006708D4" w:rsidRPr="00CF519D" w:rsidRDefault="006708D4" w:rsidP="00A41B6F">
            <w:pPr>
              <w:pStyle w:val="MDPI42tablebody"/>
              <w:jc w:val="left"/>
              <w:rPr>
                <w:sz w:val="16"/>
                <w:szCs w:val="16"/>
              </w:rPr>
            </w:pPr>
            <w:r>
              <w:lastRenderedPageBreak/>
              <w:t>High (randomised evidence available) → Very low</w:t>
            </w:r>
          </w:p>
        </w:tc>
      </w:tr>
      <w:tr w:rsidR="006708D4" w:rsidRPr="006708D4" w14:paraId="7C1E6BEF" w14:textId="77777777" w:rsidTr="00A41B6F">
        <w:trPr>
          <w:jc w:val="center"/>
        </w:trPr>
        <w:tc>
          <w:tcPr>
            <w:tcW w:w="2100" w:type="dxa"/>
            <w:tcMar>
              <w:top w:w="30" w:type="dxa"/>
              <w:left w:w="60" w:type="dxa"/>
              <w:bottom w:w="30" w:type="dxa"/>
              <w:right w:w="60" w:type="dxa"/>
            </w:tcMar>
          </w:tcPr>
          <w:p w14:paraId="596B4F3F" w14:textId="77777777" w:rsidR="006708D4" w:rsidRPr="00CF519D" w:rsidRDefault="006708D4" w:rsidP="00A41B6F">
            <w:pPr>
              <w:pStyle w:val="MDPI42tablebody"/>
              <w:jc w:val="left"/>
              <w:rPr>
                <w:sz w:val="16"/>
                <w:szCs w:val="16"/>
              </w:rPr>
            </w:pPr>
            <w:r w:rsidRPr="00CF519D">
              <w:rPr>
                <w:sz w:val="16"/>
                <w:szCs w:val="16"/>
              </w:rPr>
              <w:t>TTS-supported teaching versus conventional teaching: general academic achievement at post-intervention [29]</w:t>
            </w:r>
          </w:p>
        </w:tc>
        <w:tc>
          <w:tcPr>
            <w:tcW w:w="1150" w:type="dxa"/>
            <w:tcMar>
              <w:top w:w="30" w:type="dxa"/>
              <w:left w:w="60" w:type="dxa"/>
              <w:bottom w:w="30" w:type="dxa"/>
              <w:right w:w="60" w:type="dxa"/>
            </w:tcMar>
          </w:tcPr>
          <w:p w14:paraId="04CC030D" w14:textId="77777777" w:rsidR="006708D4" w:rsidRPr="00CF519D" w:rsidRDefault="006708D4" w:rsidP="00A41B6F">
            <w:pPr>
              <w:pStyle w:val="MDPI42tablebody"/>
              <w:jc w:val="left"/>
              <w:rPr>
                <w:sz w:val="16"/>
                <w:szCs w:val="16"/>
              </w:rPr>
            </w:pPr>
            <w:r w:rsidRPr="00CF519D">
              <w:rPr>
                <w:sz w:val="16"/>
                <w:szCs w:val="16"/>
              </w:rPr>
              <w:t>1 series / 1 report; 20 learners</w:t>
            </w:r>
          </w:p>
        </w:tc>
        <w:tc>
          <w:tcPr>
            <w:tcW w:w="2700" w:type="dxa"/>
            <w:tcMar>
              <w:top w:w="30" w:type="dxa"/>
              <w:left w:w="60" w:type="dxa"/>
              <w:bottom w:w="30" w:type="dxa"/>
              <w:right w:w="60" w:type="dxa"/>
            </w:tcMar>
          </w:tcPr>
          <w:p w14:paraId="219DB110" w14:textId="77777777" w:rsidR="006708D4" w:rsidRPr="00CF519D" w:rsidRDefault="006708D4" w:rsidP="00A41B6F">
            <w:pPr>
              <w:pStyle w:val="MDPI42tablebody"/>
              <w:jc w:val="left"/>
              <w:rPr>
                <w:sz w:val="16"/>
                <w:szCs w:val="16"/>
              </w:rPr>
            </w:pPr>
            <w:r w:rsidRPr="00CF519D">
              <w:rPr>
                <w:sz w:val="16"/>
                <w:szCs w:val="16"/>
              </w:rPr>
              <w:t xml:space="preserve">Post-test </w:t>
            </w:r>
            <w:proofErr w:type="gramStart"/>
            <w:r w:rsidRPr="00CF519D">
              <w:rPr>
                <w:sz w:val="16"/>
                <w:szCs w:val="16"/>
              </w:rPr>
              <w:t>mean</w:t>
            </w:r>
            <w:proofErr w:type="gramEnd"/>
            <w:r w:rsidRPr="00CF519D">
              <w:rPr>
                <w:sz w:val="16"/>
                <w:szCs w:val="16"/>
              </w:rPr>
              <w:t xml:space="preserve"> 28 (SD 3.61) with TTS versus 24 (SD 4.52) with conventional teaching on a researcher-developed 50-item test; t = 2.186, p &lt; 0.05; mean difference 4.0 points, confidence interval not reported.</w:t>
            </w:r>
          </w:p>
        </w:tc>
        <w:tc>
          <w:tcPr>
            <w:tcW w:w="1950" w:type="dxa"/>
            <w:tcMar>
              <w:top w:w="30" w:type="dxa"/>
              <w:left w:w="60" w:type="dxa"/>
              <w:bottom w:w="30" w:type="dxa"/>
              <w:right w:w="60" w:type="dxa"/>
            </w:tcMar>
          </w:tcPr>
          <w:p w14:paraId="399E7427" w14:textId="77777777" w:rsidR="006708D4" w:rsidRPr="00CF519D" w:rsidRDefault="006708D4" w:rsidP="00A41B6F">
            <w:pPr>
              <w:pStyle w:val="MDPI42tablebody"/>
              <w:jc w:val="left"/>
              <w:rPr>
                <w:sz w:val="16"/>
                <w:szCs w:val="16"/>
              </w:rPr>
            </w:pPr>
            <w:r w:rsidRPr="00CF519D">
              <w:rPr>
                <w:sz w:val="16"/>
                <w:szCs w:val="16"/>
              </w:rPr>
              <w:t xml:space="preserve">Very serious (−2): high risk of bias on </w:t>
            </w:r>
            <w:proofErr w:type="spellStart"/>
            <w:r w:rsidRPr="00CF519D">
              <w:rPr>
                <w:sz w:val="16"/>
                <w:szCs w:val="16"/>
              </w:rPr>
              <w:t>RoB</w:t>
            </w:r>
            <w:proofErr w:type="spellEnd"/>
            <w:r w:rsidRPr="00CF519D">
              <w:rPr>
                <w:sz w:val="16"/>
                <w:szCs w:val="16"/>
              </w:rPr>
              <w:t xml:space="preserve"> 2; </w:t>
            </w:r>
            <w:proofErr w:type="spellStart"/>
            <w:r w:rsidRPr="00CF519D">
              <w:rPr>
                <w:sz w:val="16"/>
                <w:szCs w:val="16"/>
              </w:rPr>
              <w:t>randomisation</w:t>
            </w:r>
            <w:proofErr w:type="spellEnd"/>
            <w:r w:rsidRPr="00CF519D">
              <w:rPr>
                <w:sz w:val="16"/>
                <w:szCs w:val="16"/>
              </w:rPr>
              <w:t xml:space="preserve"> and concealment not described; unvalidated, unblinded outcome</w:t>
            </w:r>
          </w:p>
        </w:tc>
        <w:tc>
          <w:tcPr>
            <w:tcW w:w="1300" w:type="dxa"/>
            <w:tcMar>
              <w:top w:w="30" w:type="dxa"/>
              <w:left w:w="60" w:type="dxa"/>
              <w:bottom w:w="30" w:type="dxa"/>
              <w:right w:w="60" w:type="dxa"/>
            </w:tcMar>
          </w:tcPr>
          <w:p w14:paraId="0EDABEA2" w14:textId="77777777" w:rsidR="006708D4" w:rsidRPr="00CF519D" w:rsidRDefault="006708D4" w:rsidP="00A41B6F">
            <w:pPr>
              <w:pStyle w:val="MDPI42tablebody"/>
              <w:jc w:val="left"/>
              <w:rPr>
                <w:sz w:val="16"/>
                <w:szCs w:val="16"/>
              </w:rPr>
            </w:pPr>
            <w:r w:rsidRPr="00CF519D">
              <w:rPr>
                <w:sz w:val="16"/>
                <w:szCs w:val="16"/>
              </w:rPr>
              <w:t>Not assessable (single study)</w:t>
            </w:r>
          </w:p>
        </w:tc>
        <w:tc>
          <w:tcPr>
            <w:tcW w:w="1550" w:type="dxa"/>
            <w:tcMar>
              <w:top w:w="30" w:type="dxa"/>
              <w:left w:w="60" w:type="dxa"/>
              <w:bottom w:w="30" w:type="dxa"/>
              <w:right w:w="60" w:type="dxa"/>
            </w:tcMar>
          </w:tcPr>
          <w:p w14:paraId="78D004BF" w14:textId="77777777" w:rsidR="006708D4" w:rsidRPr="00CF519D" w:rsidRDefault="006708D4" w:rsidP="00A41B6F">
            <w:pPr>
              <w:pStyle w:val="MDPI42tablebody"/>
              <w:jc w:val="left"/>
              <w:rPr>
                <w:sz w:val="16"/>
                <w:szCs w:val="16"/>
              </w:rPr>
            </w:pPr>
            <w:r w:rsidRPr="00CF519D">
              <w:rPr>
                <w:sz w:val="16"/>
                <w:szCs w:val="16"/>
              </w:rPr>
              <w:t>Serious (−1): unvalidated composite Hindi/English outcome; intervention incompletely specified</w:t>
            </w:r>
          </w:p>
        </w:tc>
        <w:tc>
          <w:tcPr>
            <w:tcW w:w="1350" w:type="dxa"/>
            <w:tcMar>
              <w:top w:w="30" w:type="dxa"/>
              <w:left w:w="60" w:type="dxa"/>
              <w:bottom w:w="30" w:type="dxa"/>
              <w:right w:w="60" w:type="dxa"/>
            </w:tcMar>
          </w:tcPr>
          <w:p w14:paraId="5F53008E" w14:textId="77777777" w:rsidR="006708D4" w:rsidRPr="00CF519D" w:rsidRDefault="006708D4" w:rsidP="00A41B6F">
            <w:pPr>
              <w:pStyle w:val="MDPI42tablebody"/>
              <w:jc w:val="left"/>
              <w:rPr>
                <w:sz w:val="16"/>
                <w:szCs w:val="16"/>
              </w:rPr>
            </w:pPr>
            <w:r w:rsidRPr="00CF519D">
              <w:rPr>
                <w:sz w:val="16"/>
                <w:szCs w:val="16"/>
              </w:rPr>
              <w:t>Very serious (−2): n = 20; no confidence interval</w:t>
            </w:r>
          </w:p>
        </w:tc>
        <w:tc>
          <w:tcPr>
            <w:tcW w:w="1700" w:type="dxa"/>
            <w:tcMar>
              <w:top w:w="30" w:type="dxa"/>
              <w:left w:w="60" w:type="dxa"/>
              <w:bottom w:w="30" w:type="dxa"/>
              <w:right w:w="60" w:type="dxa"/>
            </w:tcMar>
          </w:tcPr>
          <w:p w14:paraId="0E493A74" w14:textId="77777777" w:rsidR="006708D4" w:rsidRPr="00CF519D" w:rsidRDefault="006708D4" w:rsidP="00A41B6F">
            <w:pPr>
              <w:pStyle w:val="MDPI42tablebody"/>
              <w:jc w:val="left"/>
              <w:rPr>
                <w:sz w:val="16"/>
                <w:szCs w:val="16"/>
              </w:rPr>
            </w:pPr>
            <w:r w:rsidRPr="00CF519D">
              <w:rPr>
                <w:sz w:val="16"/>
                <w:szCs w:val="16"/>
              </w:rPr>
              <w:t xml:space="preserve">Undetected but suspected: single </w:t>
            </w:r>
            <w:proofErr w:type="gramStart"/>
            <w:r w:rsidRPr="00CF519D">
              <w:rPr>
                <w:sz w:val="16"/>
                <w:szCs w:val="16"/>
              </w:rPr>
              <w:t>small published</w:t>
            </w:r>
            <w:proofErr w:type="gramEnd"/>
            <w:r w:rsidRPr="00CF519D">
              <w:rPr>
                <w:sz w:val="16"/>
                <w:szCs w:val="16"/>
              </w:rPr>
              <w:t xml:space="preserve"> study in a journal without a registration requirement</w:t>
            </w:r>
          </w:p>
        </w:tc>
        <w:tc>
          <w:tcPr>
            <w:tcW w:w="1500" w:type="dxa"/>
            <w:tcMar>
              <w:top w:w="30" w:type="dxa"/>
              <w:left w:w="60" w:type="dxa"/>
              <w:bottom w:w="30" w:type="dxa"/>
              <w:right w:w="60" w:type="dxa"/>
            </w:tcMar>
          </w:tcPr>
          <w:p w14:paraId="2A543914" w14:textId="77777777" w:rsidR="006708D4" w:rsidRPr="00CF519D" w:rsidRDefault="006708D4" w:rsidP="00A41B6F">
            <w:pPr>
              <w:pStyle w:val="MDPI42tablebody"/>
              <w:jc w:val="left"/>
              <w:rPr>
                <w:sz w:val="16"/>
                <w:szCs w:val="16"/>
              </w:rPr>
            </w:pPr>
            <w:r w:rsidRPr="00CF519D">
              <w:rPr>
                <w:sz w:val="16"/>
                <w:szCs w:val="16"/>
              </w:rPr>
              <w:t>High (randomised) → Very low</w:t>
            </w:r>
          </w:p>
        </w:tc>
      </w:tr>
      <w:tr w:rsidR="006708D4" w:rsidRPr="006708D4" w14:paraId="4683F604" w14:textId="77777777" w:rsidTr="00A41B6F">
        <w:trPr>
          <w:jc w:val="center"/>
        </w:trPr>
        <w:tc>
          <w:tcPr>
            <w:tcW w:w="2100" w:type="dxa"/>
            <w:tcMar>
              <w:top w:w="30" w:type="dxa"/>
              <w:left w:w="60" w:type="dxa"/>
              <w:bottom w:w="30" w:type="dxa"/>
              <w:right w:w="60" w:type="dxa"/>
            </w:tcMar>
          </w:tcPr>
          <w:p w14:paraId="361FAE74" w14:textId="77777777" w:rsidR="006708D4" w:rsidRPr="00CF519D" w:rsidRDefault="006708D4" w:rsidP="00A41B6F">
            <w:pPr>
              <w:pStyle w:val="MDPI42tablebody"/>
              <w:jc w:val="left"/>
              <w:rPr>
                <w:sz w:val="16"/>
                <w:szCs w:val="16"/>
              </w:rPr>
            </w:pPr>
            <w:r w:rsidRPr="00CF519D">
              <w:rPr>
                <w:sz w:val="16"/>
                <w:szCs w:val="16"/>
              </w:rPr>
              <w:t>TTS-assisted mathematics instruction versus conventional instruction: mathematics achievement at post-intervention [36]</w:t>
            </w:r>
          </w:p>
        </w:tc>
        <w:tc>
          <w:tcPr>
            <w:tcW w:w="1150" w:type="dxa"/>
            <w:tcMar>
              <w:top w:w="30" w:type="dxa"/>
              <w:left w:w="60" w:type="dxa"/>
              <w:bottom w:w="30" w:type="dxa"/>
              <w:right w:w="60" w:type="dxa"/>
            </w:tcMar>
          </w:tcPr>
          <w:p w14:paraId="78747114" w14:textId="77777777" w:rsidR="006708D4" w:rsidRPr="00CF519D" w:rsidRDefault="006708D4" w:rsidP="00A41B6F">
            <w:pPr>
              <w:pStyle w:val="MDPI42tablebody"/>
              <w:jc w:val="left"/>
              <w:rPr>
                <w:sz w:val="16"/>
                <w:szCs w:val="16"/>
              </w:rPr>
            </w:pPr>
            <w:r w:rsidRPr="00CF519D">
              <w:rPr>
                <w:sz w:val="16"/>
                <w:szCs w:val="16"/>
              </w:rPr>
              <w:t>1 series / 1 report; 20 learners</w:t>
            </w:r>
          </w:p>
        </w:tc>
        <w:tc>
          <w:tcPr>
            <w:tcW w:w="2700" w:type="dxa"/>
            <w:tcMar>
              <w:top w:w="30" w:type="dxa"/>
              <w:left w:w="60" w:type="dxa"/>
              <w:bottom w:w="30" w:type="dxa"/>
              <w:right w:w="60" w:type="dxa"/>
            </w:tcMar>
          </w:tcPr>
          <w:p w14:paraId="2622FD69" w14:textId="77777777" w:rsidR="006708D4" w:rsidRPr="00CF519D" w:rsidRDefault="006708D4" w:rsidP="00A41B6F">
            <w:pPr>
              <w:pStyle w:val="MDPI42tablebody"/>
              <w:jc w:val="left"/>
              <w:rPr>
                <w:sz w:val="16"/>
                <w:szCs w:val="16"/>
              </w:rPr>
            </w:pPr>
            <w:r w:rsidRPr="00CF519D">
              <w:rPr>
                <w:sz w:val="16"/>
                <w:szCs w:val="16"/>
              </w:rPr>
              <w:t xml:space="preserve">Adjusted post-test group effect </w:t>
            </w:r>
            <w:proofErr w:type="gramStart"/>
            <w:r w:rsidRPr="00CF519D">
              <w:rPr>
                <w:sz w:val="16"/>
                <w:szCs w:val="16"/>
              </w:rPr>
              <w:t>F(</w:t>
            </w:r>
            <w:proofErr w:type="gramEnd"/>
            <w:r w:rsidRPr="00CF519D">
              <w:rPr>
                <w:sz w:val="16"/>
                <w:szCs w:val="16"/>
              </w:rPr>
              <w:t>1,17) = 42.226, p &lt; 0.001, partial η² = 0.713. Descriptive standard deviations reported for the TTS group were internally inconsistent and are not reproduced.</w:t>
            </w:r>
          </w:p>
        </w:tc>
        <w:tc>
          <w:tcPr>
            <w:tcW w:w="1950" w:type="dxa"/>
            <w:tcMar>
              <w:top w:w="30" w:type="dxa"/>
              <w:left w:w="60" w:type="dxa"/>
              <w:bottom w:w="30" w:type="dxa"/>
              <w:right w:w="60" w:type="dxa"/>
            </w:tcMar>
          </w:tcPr>
          <w:p w14:paraId="27606369" w14:textId="77777777" w:rsidR="006708D4" w:rsidRPr="00CF519D" w:rsidRDefault="006708D4" w:rsidP="00A41B6F">
            <w:pPr>
              <w:pStyle w:val="MDPI42tablebody"/>
              <w:jc w:val="left"/>
              <w:rPr>
                <w:sz w:val="16"/>
                <w:szCs w:val="16"/>
              </w:rPr>
            </w:pPr>
            <w:r w:rsidRPr="00CF519D">
              <w:rPr>
                <w:sz w:val="16"/>
                <w:szCs w:val="16"/>
              </w:rPr>
              <w:t>Very serious (−2): serious risk of bias on ROBINS-I; purposive non-equivalent groups; researcher-reported outcome</w:t>
            </w:r>
          </w:p>
        </w:tc>
        <w:tc>
          <w:tcPr>
            <w:tcW w:w="1300" w:type="dxa"/>
            <w:tcMar>
              <w:top w:w="30" w:type="dxa"/>
              <w:left w:w="60" w:type="dxa"/>
              <w:bottom w:w="30" w:type="dxa"/>
              <w:right w:w="60" w:type="dxa"/>
            </w:tcMar>
          </w:tcPr>
          <w:p w14:paraId="37D28AD0" w14:textId="77777777" w:rsidR="006708D4" w:rsidRPr="00CF519D" w:rsidRDefault="006708D4" w:rsidP="00A41B6F">
            <w:pPr>
              <w:pStyle w:val="MDPI42tablebody"/>
              <w:jc w:val="left"/>
              <w:rPr>
                <w:sz w:val="16"/>
                <w:szCs w:val="16"/>
              </w:rPr>
            </w:pPr>
            <w:r w:rsidRPr="00CF519D">
              <w:rPr>
                <w:sz w:val="16"/>
                <w:szCs w:val="16"/>
              </w:rPr>
              <w:t>Not assessable (single study)</w:t>
            </w:r>
          </w:p>
        </w:tc>
        <w:tc>
          <w:tcPr>
            <w:tcW w:w="1550" w:type="dxa"/>
            <w:tcMar>
              <w:top w:w="30" w:type="dxa"/>
              <w:left w:w="60" w:type="dxa"/>
              <w:bottom w:w="30" w:type="dxa"/>
              <w:right w:w="60" w:type="dxa"/>
            </w:tcMar>
          </w:tcPr>
          <w:p w14:paraId="232414F9" w14:textId="77777777" w:rsidR="006708D4" w:rsidRPr="00CF519D" w:rsidRDefault="006708D4" w:rsidP="00A41B6F">
            <w:pPr>
              <w:pStyle w:val="MDPI42tablebody"/>
              <w:jc w:val="left"/>
              <w:rPr>
                <w:sz w:val="16"/>
                <w:szCs w:val="16"/>
              </w:rPr>
            </w:pPr>
            <w:r w:rsidRPr="00CF519D">
              <w:rPr>
                <w:sz w:val="16"/>
                <w:szCs w:val="16"/>
              </w:rPr>
              <w:t>Serious (−1): single local programme; researcher-reported measure</w:t>
            </w:r>
          </w:p>
        </w:tc>
        <w:tc>
          <w:tcPr>
            <w:tcW w:w="1350" w:type="dxa"/>
            <w:tcMar>
              <w:top w:w="30" w:type="dxa"/>
              <w:left w:w="60" w:type="dxa"/>
              <w:bottom w:w="30" w:type="dxa"/>
              <w:right w:w="60" w:type="dxa"/>
            </w:tcMar>
          </w:tcPr>
          <w:p w14:paraId="3A454BE8" w14:textId="77777777" w:rsidR="006708D4" w:rsidRPr="00CF519D" w:rsidRDefault="006708D4" w:rsidP="00A41B6F">
            <w:pPr>
              <w:pStyle w:val="MDPI42tablebody"/>
              <w:jc w:val="left"/>
              <w:rPr>
                <w:sz w:val="16"/>
                <w:szCs w:val="16"/>
              </w:rPr>
            </w:pPr>
            <w:r w:rsidRPr="00CF519D">
              <w:rPr>
                <w:sz w:val="16"/>
                <w:szCs w:val="16"/>
              </w:rPr>
              <w:t>Very serious (−2): n = 20; internally inconsistent descriptive statistics</w:t>
            </w:r>
          </w:p>
        </w:tc>
        <w:tc>
          <w:tcPr>
            <w:tcW w:w="1700" w:type="dxa"/>
            <w:tcMar>
              <w:top w:w="30" w:type="dxa"/>
              <w:left w:w="60" w:type="dxa"/>
              <w:bottom w:w="30" w:type="dxa"/>
              <w:right w:w="60" w:type="dxa"/>
            </w:tcMar>
          </w:tcPr>
          <w:p w14:paraId="0F7DC6A5" w14:textId="77777777" w:rsidR="006708D4" w:rsidRPr="00CF519D" w:rsidRDefault="006708D4" w:rsidP="00A41B6F">
            <w:pPr>
              <w:pStyle w:val="MDPI42tablebody"/>
              <w:jc w:val="left"/>
              <w:rPr>
                <w:sz w:val="16"/>
                <w:szCs w:val="16"/>
              </w:rPr>
            </w:pPr>
            <w:r w:rsidRPr="00CF519D">
              <w:rPr>
                <w:sz w:val="16"/>
                <w:szCs w:val="16"/>
              </w:rPr>
              <w:t xml:space="preserve">Undetected but suspected: single </w:t>
            </w:r>
            <w:proofErr w:type="gramStart"/>
            <w:r w:rsidRPr="00CF519D">
              <w:rPr>
                <w:sz w:val="16"/>
                <w:szCs w:val="16"/>
              </w:rPr>
              <w:t>small published</w:t>
            </w:r>
            <w:proofErr w:type="gramEnd"/>
            <w:r w:rsidRPr="00CF519D">
              <w:rPr>
                <w:sz w:val="16"/>
                <w:szCs w:val="16"/>
              </w:rPr>
              <w:t xml:space="preserve"> study</w:t>
            </w:r>
          </w:p>
        </w:tc>
        <w:tc>
          <w:tcPr>
            <w:tcW w:w="1500" w:type="dxa"/>
            <w:tcMar>
              <w:top w:w="30" w:type="dxa"/>
              <w:left w:w="60" w:type="dxa"/>
              <w:bottom w:w="30" w:type="dxa"/>
              <w:right w:w="60" w:type="dxa"/>
            </w:tcMar>
          </w:tcPr>
          <w:p w14:paraId="673A66BB" w14:textId="77777777" w:rsidR="006708D4" w:rsidRPr="00CF519D" w:rsidRDefault="006708D4" w:rsidP="00A41B6F">
            <w:pPr>
              <w:pStyle w:val="MDPI42tablebody"/>
              <w:jc w:val="left"/>
              <w:rPr>
                <w:sz w:val="16"/>
                <w:szCs w:val="16"/>
              </w:rPr>
            </w:pPr>
            <w:r w:rsidRPr="00CF519D">
              <w:rPr>
                <w:sz w:val="16"/>
                <w:szCs w:val="16"/>
              </w:rPr>
              <w:t>Low (non-randomised) → Very low</w:t>
            </w:r>
          </w:p>
        </w:tc>
      </w:tr>
      <w:tr w:rsidR="006708D4" w:rsidRPr="006708D4" w14:paraId="49BFAE85" w14:textId="77777777" w:rsidTr="00A41B6F">
        <w:trPr>
          <w:jc w:val="center"/>
        </w:trPr>
        <w:tc>
          <w:tcPr>
            <w:tcW w:w="2100" w:type="dxa"/>
            <w:tcMar>
              <w:top w:w="30" w:type="dxa"/>
              <w:left w:w="60" w:type="dxa"/>
              <w:bottom w:w="30" w:type="dxa"/>
              <w:right w:w="60" w:type="dxa"/>
            </w:tcMar>
          </w:tcPr>
          <w:p w14:paraId="4F81C860" w14:textId="77777777" w:rsidR="006708D4" w:rsidRPr="00CF519D" w:rsidRDefault="006708D4" w:rsidP="00A41B6F">
            <w:pPr>
              <w:pStyle w:val="MDPI42tablebody"/>
              <w:jc w:val="left"/>
              <w:rPr>
                <w:sz w:val="16"/>
                <w:szCs w:val="16"/>
              </w:rPr>
            </w:pPr>
            <w:r w:rsidRPr="00CF519D">
              <w:rPr>
                <w:sz w:val="16"/>
                <w:szCs w:val="16"/>
              </w:rPr>
              <w:lastRenderedPageBreak/>
              <w:t>TTS-supported e-learning versus unsupported baseline phases: spelling and pronunciation-related performance during the intervention phase [37]</w:t>
            </w:r>
          </w:p>
        </w:tc>
        <w:tc>
          <w:tcPr>
            <w:tcW w:w="1150" w:type="dxa"/>
            <w:tcMar>
              <w:top w:w="30" w:type="dxa"/>
              <w:left w:w="60" w:type="dxa"/>
              <w:bottom w:w="30" w:type="dxa"/>
              <w:right w:w="60" w:type="dxa"/>
            </w:tcMar>
          </w:tcPr>
          <w:p w14:paraId="40F0EB4F" w14:textId="77777777" w:rsidR="006708D4" w:rsidRPr="00CF519D" w:rsidRDefault="006708D4" w:rsidP="00A41B6F">
            <w:pPr>
              <w:pStyle w:val="MDPI42tablebody"/>
              <w:jc w:val="left"/>
              <w:rPr>
                <w:sz w:val="16"/>
                <w:szCs w:val="16"/>
              </w:rPr>
            </w:pPr>
            <w:r w:rsidRPr="00CF519D">
              <w:rPr>
                <w:sz w:val="16"/>
                <w:szCs w:val="16"/>
              </w:rPr>
              <w:t>1 series / 1 report; 1 learner</w:t>
            </w:r>
          </w:p>
        </w:tc>
        <w:tc>
          <w:tcPr>
            <w:tcW w:w="2700" w:type="dxa"/>
            <w:tcMar>
              <w:top w:w="30" w:type="dxa"/>
              <w:left w:w="60" w:type="dxa"/>
              <w:bottom w:w="30" w:type="dxa"/>
              <w:right w:w="60" w:type="dxa"/>
            </w:tcMar>
          </w:tcPr>
          <w:p w14:paraId="758006C5" w14:textId="77777777" w:rsidR="006708D4" w:rsidRPr="00CF519D" w:rsidRDefault="006708D4" w:rsidP="00A41B6F">
            <w:pPr>
              <w:pStyle w:val="MDPI42tablebody"/>
              <w:jc w:val="left"/>
              <w:rPr>
                <w:sz w:val="16"/>
                <w:szCs w:val="16"/>
              </w:rPr>
            </w:pPr>
            <w:r w:rsidRPr="00CF519D">
              <w:rPr>
                <w:sz w:val="16"/>
                <w:szCs w:val="16"/>
              </w:rPr>
              <w:t>Not estimable. The report described higher performance during the intervention phase but did not define the outcome scale or report phase-level data sufficiently for an effect estimate.</w:t>
            </w:r>
          </w:p>
        </w:tc>
        <w:tc>
          <w:tcPr>
            <w:tcW w:w="1950" w:type="dxa"/>
            <w:tcMar>
              <w:top w:w="30" w:type="dxa"/>
              <w:left w:w="60" w:type="dxa"/>
              <w:bottom w:w="30" w:type="dxa"/>
              <w:right w:w="60" w:type="dxa"/>
            </w:tcMar>
          </w:tcPr>
          <w:p w14:paraId="4B90A1EF" w14:textId="77777777" w:rsidR="006708D4" w:rsidRPr="00CF519D" w:rsidRDefault="006708D4" w:rsidP="00A41B6F">
            <w:pPr>
              <w:pStyle w:val="MDPI42tablebody"/>
              <w:jc w:val="left"/>
              <w:rPr>
                <w:sz w:val="16"/>
                <w:szCs w:val="16"/>
              </w:rPr>
            </w:pPr>
            <w:r w:rsidRPr="00CF519D">
              <w:rPr>
                <w:sz w:val="16"/>
                <w:szCs w:val="16"/>
              </w:rPr>
              <w:t>Very serious (−2): single-case design not meeting WWC standards; outcome measurement and reporting unclear</w:t>
            </w:r>
          </w:p>
        </w:tc>
        <w:tc>
          <w:tcPr>
            <w:tcW w:w="1300" w:type="dxa"/>
            <w:tcMar>
              <w:top w:w="30" w:type="dxa"/>
              <w:left w:w="60" w:type="dxa"/>
              <w:bottom w:w="30" w:type="dxa"/>
              <w:right w:w="60" w:type="dxa"/>
            </w:tcMar>
          </w:tcPr>
          <w:p w14:paraId="06A13D19" w14:textId="77777777" w:rsidR="006708D4" w:rsidRPr="00CF519D" w:rsidRDefault="006708D4" w:rsidP="00A41B6F">
            <w:pPr>
              <w:pStyle w:val="MDPI42tablebody"/>
              <w:jc w:val="left"/>
              <w:rPr>
                <w:sz w:val="16"/>
                <w:szCs w:val="16"/>
              </w:rPr>
            </w:pPr>
            <w:r w:rsidRPr="00CF519D">
              <w:rPr>
                <w:sz w:val="16"/>
                <w:szCs w:val="16"/>
              </w:rPr>
              <w:t>Not assessable (single study)</w:t>
            </w:r>
          </w:p>
        </w:tc>
        <w:tc>
          <w:tcPr>
            <w:tcW w:w="1550" w:type="dxa"/>
            <w:tcMar>
              <w:top w:w="30" w:type="dxa"/>
              <w:left w:w="60" w:type="dxa"/>
              <w:bottom w:w="30" w:type="dxa"/>
              <w:right w:w="60" w:type="dxa"/>
            </w:tcMar>
          </w:tcPr>
          <w:p w14:paraId="72B19171" w14:textId="77777777" w:rsidR="006708D4" w:rsidRPr="00CF519D" w:rsidRDefault="006708D4" w:rsidP="00A41B6F">
            <w:pPr>
              <w:pStyle w:val="MDPI42tablebody"/>
              <w:jc w:val="left"/>
              <w:rPr>
                <w:sz w:val="16"/>
                <w:szCs w:val="16"/>
              </w:rPr>
            </w:pPr>
            <w:r w:rsidRPr="00CF519D">
              <w:rPr>
                <w:sz w:val="16"/>
                <w:szCs w:val="16"/>
              </w:rPr>
              <w:t>Serious (−1): single e-learning context; incompletely defined measure</w:t>
            </w:r>
          </w:p>
        </w:tc>
        <w:tc>
          <w:tcPr>
            <w:tcW w:w="1350" w:type="dxa"/>
            <w:tcMar>
              <w:top w:w="30" w:type="dxa"/>
              <w:left w:w="60" w:type="dxa"/>
              <w:bottom w:w="30" w:type="dxa"/>
              <w:right w:w="60" w:type="dxa"/>
            </w:tcMar>
          </w:tcPr>
          <w:p w14:paraId="21258015" w14:textId="77777777" w:rsidR="006708D4" w:rsidRPr="00CF519D" w:rsidRDefault="006708D4" w:rsidP="00A41B6F">
            <w:pPr>
              <w:pStyle w:val="MDPI42tablebody"/>
              <w:jc w:val="left"/>
              <w:rPr>
                <w:sz w:val="16"/>
                <w:szCs w:val="16"/>
              </w:rPr>
            </w:pPr>
            <w:r w:rsidRPr="00CF519D">
              <w:rPr>
                <w:sz w:val="16"/>
                <w:szCs w:val="16"/>
              </w:rPr>
              <w:t>Very serious (−2): one participant</w:t>
            </w:r>
          </w:p>
        </w:tc>
        <w:tc>
          <w:tcPr>
            <w:tcW w:w="1700" w:type="dxa"/>
            <w:tcMar>
              <w:top w:w="30" w:type="dxa"/>
              <w:left w:w="60" w:type="dxa"/>
              <w:bottom w:w="30" w:type="dxa"/>
              <w:right w:w="60" w:type="dxa"/>
            </w:tcMar>
          </w:tcPr>
          <w:p w14:paraId="36AF6BFD" w14:textId="77777777" w:rsidR="006708D4" w:rsidRPr="00CF519D" w:rsidRDefault="006708D4" w:rsidP="00A41B6F">
            <w:pPr>
              <w:pStyle w:val="MDPI42tablebody"/>
              <w:jc w:val="left"/>
              <w:rPr>
                <w:sz w:val="16"/>
                <w:szCs w:val="16"/>
              </w:rPr>
            </w:pPr>
            <w:r w:rsidRPr="00CF519D">
              <w:rPr>
                <w:sz w:val="16"/>
                <w:szCs w:val="16"/>
              </w:rPr>
              <w:t>Undetected but suspected: single published case report</w:t>
            </w:r>
          </w:p>
        </w:tc>
        <w:tc>
          <w:tcPr>
            <w:tcW w:w="1500" w:type="dxa"/>
            <w:tcMar>
              <w:top w:w="30" w:type="dxa"/>
              <w:left w:w="60" w:type="dxa"/>
              <w:bottom w:w="30" w:type="dxa"/>
              <w:right w:w="60" w:type="dxa"/>
            </w:tcMar>
          </w:tcPr>
          <w:p w14:paraId="02CE91E5" w14:textId="77777777" w:rsidR="006708D4" w:rsidRPr="00CF519D" w:rsidRDefault="006708D4" w:rsidP="00A41B6F">
            <w:pPr>
              <w:pStyle w:val="MDPI42tablebody"/>
              <w:jc w:val="left"/>
              <w:rPr>
                <w:sz w:val="16"/>
                <w:szCs w:val="16"/>
              </w:rPr>
            </w:pPr>
            <w:r w:rsidRPr="00CF519D">
              <w:rPr>
                <w:sz w:val="16"/>
                <w:szCs w:val="16"/>
              </w:rPr>
              <w:t>Low (</w:t>
            </w:r>
            <w:proofErr w:type="gramStart"/>
            <w:r w:rsidRPr="00CF519D">
              <w:rPr>
                <w:sz w:val="16"/>
                <w:szCs w:val="16"/>
              </w:rPr>
              <w:t>single-case</w:t>
            </w:r>
            <w:proofErr w:type="gramEnd"/>
            <w:r w:rsidRPr="00CF519D">
              <w:rPr>
                <w:sz w:val="16"/>
                <w:szCs w:val="16"/>
              </w:rPr>
              <w:t>) → Very low</w:t>
            </w:r>
          </w:p>
        </w:tc>
      </w:tr>
      <w:tr w:rsidR="006708D4" w:rsidRPr="006708D4" w14:paraId="03B1DE8B" w14:textId="77777777" w:rsidTr="00A41B6F">
        <w:trPr>
          <w:jc w:val="center"/>
        </w:trPr>
        <w:tc>
          <w:tcPr>
            <w:tcW w:w="2100" w:type="dxa"/>
            <w:tcMar>
              <w:top w:w="30" w:type="dxa"/>
              <w:left w:w="60" w:type="dxa"/>
              <w:bottom w:w="30" w:type="dxa"/>
              <w:right w:w="60" w:type="dxa"/>
            </w:tcMar>
          </w:tcPr>
          <w:p w14:paraId="5997043A" w14:textId="77777777" w:rsidR="006708D4" w:rsidRPr="00CF519D" w:rsidRDefault="006708D4" w:rsidP="00A41B6F">
            <w:pPr>
              <w:pStyle w:val="MDPI42tablebody"/>
              <w:jc w:val="left"/>
              <w:rPr>
                <w:sz w:val="16"/>
                <w:szCs w:val="16"/>
              </w:rPr>
            </w:pPr>
            <w:r w:rsidRPr="00CF519D">
              <w:rPr>
                <w:sz w:val="16"/>
                <w:szCs w:val="16"/>
              </w:rPr>
              <w:t>Teacher instruction plus adaptive AI Braille Tutor versus teacher instruction alone: sessions to 100% mastery of Braille contractions [38]</w:t>
            </w:r>
          </w:p>
        </w:tc>
        <w:tc>
          <w:tcPr>
            <w:tcW w:w="1150" w:type="dxa"/>
            <w:tcMar>
              <w:top w:w="30" w:type="dxa"/>
              <w:left w:w="60" w:type="dxa"/>
              <w:bottom w:w="30" w:type="dxa"/>
              <w:right w:w="60" w:type="dxa"/>
            </w:tcMar>
          </w:tcPr>
          <w:p w14:paraId="118A02BC" w14:textId="77777777" w:rsidR="006708D4" w:rsidRPr="00CF519D" w:rsidRDefault="006708D4" w:rsidP="00A41B6F">
            <w:pPr>
              <w:pStyle w:val="MDPI42tablebody"/>
              <w:jc w:val="left"/>
              <w:rPr>
                <w:sz w:val="16"/>
                <w:szCs w:val="16"/>
              </w:rPr>
            </w:pPr>
            <w:r w:rsidRPr="00CF519D">
              <w:rPr>
                <w:sz w:val="16"/>
                <w:szCs w:val="16"/>
              </w:rPr>
              <w:t>1 series / 1 report; 10 learners</w:t>
            </w:r>
          </w:p>
        </w:tc>
        <w:tc>
          <w:tcPr>
            <w:tcW w:w="2700" w:type="dxa"/>
            <w:tcMar>
              <w:top w:w="30" w:type="dxa"/>
              <w:left w:w="60" w:type="dxa"/>
              <w:bottom w:w="30" w:type="dxa"/>
              <w:right w:w="60" w:type="dxa"/>
            </w:tcMar>
          </w:tcPr>
          <w:p w14:paraId="76979BB8" w14:textId="77777777" w:rsidR="006708D4" w:rsidRPr="00CF519D" w:rsidRDefault="006708D4" w:rsidP="00A41B6F">
            <w:pPr>
              <w:pStyle w:val="MDPI42tablebody"/>
              <w:jc w:val="left"/>
              <w:rPr>
                <w:sz w:val="16"/>
                <w:szCs w:val="16"/>
              </w:rPr>
            </w:pPr>
            <w:r w:rsidRPr="00CF519D">
              <w:rPr>
                <w:sz w:val="16"/>
                <w:szCs w:val="16"/>
              </w:rPr>
              <w:t>Mean 7.00 sessions (range 1–12) with Tutor support versus 9.58 sessions (range 3–16) with teacher-only instruction; mean difference −2.58 sessions, confidence interval not reported. The authors described this as a trend, and the study was not powered for a confirmatory comparison.</w:t>
            </w:r>
          </w:p>
        </w:tc>
        <w:tc>
          <w:tcPr>
            <w:tcW w:w="1950" w:type="dxa"/>
            <w:tcMar>
              <w:top w:w="30" w:type="dxa"/>
              <w:left w:w="60" w:type="dxa"/>
              <w:bottom w:w="30" w:type="dxa"/>
              <w:right w:w="60" w:type="dxa"/>
            </w:tcMar>
          </w:tcPr>
          <w:p w14:paraId="313DCF3E" w14:textId="77777777" w:rsidR="006708D4" w:rsidRPr="00CF519D" w:rsidRDefault="006708D4" w:rsidP="00A41B6F">
            <w:pPr>
              <w:pStyle w:val="MDPI42tablebody"/>
              <w:jc w:val="left"/>
              <w:rPr>
                <w:sz w:val="16"/>
                <w:szCs w:val="16"/>
              </w:rPr>
            </w:pPr>
            <w:r w:rsidRPr="00CF519D">
              <w:rPr>
                <w:sz w:val="16"/>
                <w:szCs w:val="16"/>
              </w:rPr>
              <w:t>Very serious (−2): single-case design not meeting WWC standards; fewer than three eligible demonstrations of effect</w:t>
            </w:r>
          </w:p>
        </w:tc>
        <w:tc>
          <w:tcPr>
            <w:tcW w:w="1300" w:type="dxa"/>
            <w:tcMar>
              <w:top w:w="30" w:type="dxa"/>
              <w:left w:w="60" w:type="dxa"/>
              <w:bottom w:w="30" w:type="dxa"/>
              <w:right w:w="60" w:type="dxa"/>
            </w:tcMar>
          </w:tcPr>
          <w:p w14:paraId="2B44387E" w14:textId="77777777" w:rsidR="006708D4" w:rsidRPr="00CF519D" w:rsidRDefault="006708D4" w:rsidP="00A41B6F">
            <w:pPr>
              <w:pStyle w:val="MDPI42tablebody"/>
              <w:jc w:val="left"/>
              <w:rPr>
                <w:sz w:val="16"/>
                <w:szCs w:val="16"/>
              </w:rPr>
            </w:pPr>
            <w:r w:rsidRPr="00CF519D">
              <w:rPr>
                <w:sz w:val="16"/>
                <w:szCs w:val="16"/>
              </w:rPr>
              <w:t>Not assessable (single study series)</w:t>
            </w:r>
          </w:p>
        </w:tc>
        <w:tc>
          <w:tcPr>
            <w:tcW w:w="1550" w:type="dxa"/>
            <w:tcMar>
              <w:top w:w="30" w:type="dxa"/>
              <w:left w:w="60" w:type="dxa"/>
              <w:bottom w:w="30" w:type="dxa"/>
              <w:right w:w="60" w:type="dxa"/>
            </w:tcMar>
          </w:tcPr>
          <w:p w14:paraId="733811BD" w14:textId="77777777" w:rsidR="006708D4" w:rsidRPr="00CF519D" w:rsidRDefault="006708D4" w:rsidP="00A41B6F">
            <w:pPr>
              <w:pStyle w:val="MDPI42tablebody"/>
              <w:jc w:val="left"/>
              <w:rPr>
                <w:sz w:val="16"/>
                <w:szCs w:val="16"/>
              </w:rPr>
            </w:pPr>
            <w:r w:rsidRPr="00CF519D">
              <w:rPr>
                <w:sz w:val="16"/>
                <w:szCs w:val="16"/>
              </w:rPr>
              <w:t>Serious (−1): prototype system; isolated contractions; teacher co-intervention</w:t>
            </w:r>
          </w:p>
        </w:tc>
        <w:tc>
          <w:tcPr>
            <w:tcW w:w="1350" w:type="dxa"/>
            <w:tcMar>
              <w:top w:w="30" w:type="dxa"/>
              <w:left w:w="60" w:type="dxa"/>
              <w:bottom w:w="30" w:type="dxa"/>
              <w:right w:w="60" w:type="dxa"/>
            </w:tcMar>
          </w:tcPr>
          <w:p w14:paraId="490D62F1" w14:textId="77777777" w:rsidR="006708D4" w:rsidRPr="00CF519D" w:rsidRDefault="006708D4" w:rsidP="00A41B6F">
            <w:pPr>
              <w:pStyle w:val="MDPI42tablebody"/>
              <w:jc w:val="left"/>
              <w:rPr>
                <w:sz w:val="16"/>
                <w:szCs w:val="16"/>
              </w:rPr>
            </w:pPr>
            <w:r w:rsidRPr="00CF519D">
              <w:rPr>
                <w:sz w:val="16"/>
                <w:szCs w:val="16"/>
              </w:rPr>
              <w:t>Very serious (−2): n = 10; no confidence interval</w:t>
            </w:r>
          </w:p>
        </w:tc>
        <w:tc>
          <w:tcPr>
            <w:tcW w:w="1700" w:type="dxa"/>
            <w:tcMar>
              <w:top w:w="30" w:type="dxa"/>
              <w:left w:w="60" w:type="dxa"/>
              <w:bottom w:w="30" w:type="dxa"/>
              <w:right w:w="60" w:type="dxa"/>
            </w:tcMar>
          </w:tcPr>
          <w:p w14:paraId="219984F4" w14:textId="77777777" w:rsidR="006708D4" w:rsidRPr="00CF519D" w:rsidRDefault="006708D4" w:rsidP="00A41B6F">
            <w:pPr>
              <w:pStyle w:val="MDPI42tablebody"/>
              <w:jc w:val="left"/>
              <w:rPr>
                <w:sz w:val="16"/>
                <w:szCs w:val="16"/>
              </w:rPr>
            </w:pPr>
            <w:r w:rsidRPr="00CF519D">
              <w:rPr>
                <w:sz w:val="16"/>
                <w:szCs w:val="16"/>
              </w:rPr>
              <w:t xml:space="preserve">Undetected but suspected: single </w:t>
            </w:r>
            <w:proofErr w:type="gramStart"/>
            <w:r w:rsidRPr="00CF519D">
              <w:rPr>
                <w:sz w:val="16"/>
                <w:szCs w:val="16"/>
              </w:rPr>
              <w:t>small published</w:t>
            </w:r>
            <w:proofErr w:type="gramEnd"/>
            <w:r w:rsidRPr="00CF519D">
              <w:rPr>
                <w:sz w:val="16"/>
                <w:szCs w:val="16"/>
              </w:rPr>
              <w:t xml:space="preserve"> study; no replication located</w:t>
            </w:r>
          </w:p>
        </w:tc>
        <w:tc>
          <w:tcPr>
            <w:tcW w:w="1500" w:type="dxa"/>
            <w:tcMar>
              <w:top w:w="30" w:type="dxa"/>
              <w:left w:w="60" w:type="dxa"/>
              <w:bottom w:w="30" w:type="dxa"/>
              <w:right w:w="60" w:type="dxa"/>
            </w:tcMar>
          </w:tcPr>
          <w:p w14:paraId="198E5079" w14:textId="77777777" w:rsidR="006708D4" w:rsidRPr="00CF519D" w:rsidRDefault="006708D4" w:rsidP="00A41B6F">
            <w:pPr>
              <w:pStyle w:val="MDPI42tablebody"/>
              <w:jc w:val="left"/>
              <w:rPr>
                <w:sz w:val="16"/>
                <w:szCs w:val="16"/>
              </w:rPr>
            </w:pPr>
            <w:r w:rsidRPr="00CF519D">
              <w:rPr>
                <w:sz w:val="16"/>
                <w:szCs w:val="16"/>
              </w:rPr>
              <w:t>Low (</w:t>
            </w:r>
            <w:proofErr w:type="gramStart"/>
            <w:r w:rsidRPr="00CF519D">
              <w:rPr>
                <w:sz w:val="16"/>
                <w:szCs w:val="16"/>
              </w:rPr>
              <w:t>single-case</w:t>
            </w:r>
            <w:proofErr w:type="gramEnd"/>
            <w:r w:rsidRPr="00CF519D">
              <w:rPr>
                <w:sz w:val="16"/>
                <w:szCs w:val="16"/>
              </w:rPr>
              <w:t>) → Very low</w:t>
            </w:r>
          </w:p>
        </w:tc>
      </w:tr>
    </w:tbl>
    <w:p w14:paraId="59B330E5" w14:textId="77777777" w:rsidR="006708D4" w:rsidRPr="006708D4" w:rsidRDefault="006708D4" w:rsidP="006708D4">
      <w:pPr>
        <w:pStyle w:val="MDPI43tablefooter"/>
      </w:pPr>
      <w:r>
        <w:t xml:space="preserve">Note: Each row corresponds to a synthesis PICO in Table S4, Panel A. Enrolled/baseline n includes learners with disabilities only; totals are upper bounds where cohorts may overlap, and outcome-specific denominators may be smaller. Randomised evidence </w:t>
      </w:r>
      <w:proofErr w:type="gramStart"/>
      <w:r>
        <w:t>set</w:t>
      </w:r>
      <w:proofErr w:type="gramEnd"/>
      <w:r>
        <w:t xml:space="preserve"> the GRADE starting level for mixed-design bodies. Single-case risk-of-bias judgments combine WWC design standards with the additional domains in Table S3; abstract-only reports were not rated. Inconsistency was not assessable for a single series. Publication and non-reporting bias </w:t>
      </w:r>
      <w:proofErr w:type="gramStart"/>
      <w:r>
        <w:t>was</w:t>
      </w:r>
      <w:proofErr w:type="gramEnd"/>
      <w:r>
        <w:t xml:space="preserve"> judged qualitatively </w:t>
      </w:r>
      <w:proofErr w:type="gramStart"/>
      <w:r>
        <w:t>in light of</w:t>
      </w:r>
      <w:proofErr w:type="gramEnd"/>
      <w:r>
        <w:t xml:space="preserve"> search restrictions and reports found after search closure. Empty categories were not rated.</w:t>
      </w:r>
    </w:p>
    <w:p w14:paraId="4A679616" w14:textId="77777777" w:rsidR="006708D4" w:rsidRPr="006708D4" w:rsidRDefault="006708D4" w:rsidP="006708D4">
      <w:pPr>
        <w:sectPr w:rsidR="006708D4" w:rsidRPr="006708D4" w:rsidSect="006708D4">
          <w:pgSz w:w="16838" w:h="11906" w:orient="landscape"/>
          <w:pgMar w:top="1417" w:right="720" w:bottom="907" w:left="720" w:header="720" w:footer="612" w:gutter="0"/>
          <w:lnNumType w:countBy="1" w:distance="255" w:restart="continuous"/>
          <w:cols w:space="720"/>
          <w:formProt w:val="0"/>
          <w:docGrid w:type="lines" w:linePitch="326"/>
        </w:sectPr>
      </w:pPr>
    </w:p>
    <w:p w14:paraId="02F59C1E" w14:textId="77777777" w:rsidR="006708D4" w:rsidRDefault="006708D4" w:rsidP="006708D4">
      <w:pPr>
        <w:pStyle w:val="MDPI22heading2"/>
      </w:pPr>
      <w:r>
        <w:lastRenderedPageBreak/>
        <w:t>3.4. Synthesis of Learner-Level Outcomes</w:t>
      </w:r>
    </w:p>
    <w:p w14:paraId="2372E160" w14:textId="77777777" w:rsidR="006708D4" w:rsidRDefault="006708D4" w:rsidP="006708D4">
      <w:pPr>
        <w:pStyle w:val="MDPI23heading3"/>
      </w:pPr>
      <w:r>
        <w:rPr>
          <w:i/>
        </w:rPr>
        <w:t>3.4.1. STT for Word Recognition, Spelling, and Reading Comprehension</w:t>
      </w:r>
    </w:p>
    <w:p w14:paraId="093CD561" w14:textId="77777777" w:rsidR="006708D4" w:rsidRDefault="006708D4" w:rsidP="006708D4">
      <w:pPr>
        <w:pStyle w:val="MDPI31text"/>
      </w:pPr>
      <w:r>
        <w:t>Two reports described one overlapping study series [23,24]. In the original controlled study (n = 39), discrete-speech STT practice was associated with greater pretest-to-posttest improvement than general computer instruction in word recognition (p &lt; 0.0001), spelling (p &lt; 0.002), reading comprehension (p &lt; 0.01), and phonological processing (p &lt; 0.04) [23]. The expanded report added 13 continuous-speech STT users to the original discrete-speech and control cohorts (total n = 52) and reported improvement in word recognition and reading comprehension for both STT groups; spelling improvement was reported for the discrete-speech group [24]. Because the cohorts overlapped and allocation was nonrandomised, these findings constitute one study series rather than two replications.</w:t>
      </w:r>
    </w:p>
    <w:p w14:paraId="7DD2A8E0" w14:textId="77777777" w:rsidR="006708D4" w:rsidRDefault="006708D4" w:rsidP="006708D4">
      <w:pPr>
        <w:pStyle w:val="MDPI23heading3"/>
      </w:pPr>
      <w:r>
        <w:rPr>
          <w:i/>
        </w:rPr>
        <w:t>3.4.2. STT for Written Expression</w:t>
      </w:r>
    </w:p>
    <w:p w14:paraId="15A593E3" w14:textId="77777777" w:rsidR="006708D4" w:rsidRDefault="006708D4" w:rsidP="006708D4">
      <w:pPr>
        <w:pStyle w:val="MDPI31text"/>
      </w:pPr>
      <w:r>
        <w:t>Five independent reports examined written-expression outcomes [25–28,49]. In a counterbalanced comparison involving 21 high-school students with learning disabilities, STT dictation produced higher-rated essays than handwriting, whereas human scribing produced the highest ratings; STT word-error rates remained below 10% [25]. In the eight-participant Nordic study, seven learners increased text productivity following structured STT instruction, while changes in accuracy, punctuation, sentence structure, and vocabulary differed across learners [26].</w:t>
      </w:r>
    </w:p>
    <w:p w14:paraId="0C271E58" w14:textId="77777777" w:rsidR="006708D4" w:rsidRDefault="006708D4" w:rsidP="006708D4">
      <w:pPr>
        <w:pStyle w:val="MDPI31text"/>
      </w:pPr>
      <w:r>
        <w:t xml:space="preserve">The two studies of learners with mild intellectual disability also showed heterogeneous responses. </w:t>
      </w:r>
      <w:proofErr w:type="spellStart"/>
      <w:r>
        <w:t>Fälth</w:t>
      </w:r>
      <w:proofErr w:type="spellEnd"/>
      <w:r>
        <w:t xml:space="preserve"> et al. reported text-length PEM values of 30–100% and text-quality PEM values of 10–100% across seven learners following STT combined with explicit writing instruction [27]. Sand et al. reported increases in words, sentences, and content for all four learners, with nonoverlap-of-all-pairs values of 0.93–1.00 [28]. In both studies, STT was embedded within </w:t>
      </w:r>
      <w:r w:rsidR="00CF519D">
        <w:t>individualised</w:t>
      </w:r>
      <w:r>
        <w:t xml:space="preserve"> or explicit instruction, so the observed changes do not estimate a technology-only effect.</w:t>
      </w:r>
    </w:p>
    <w:p w14:paraId="53C3D642" w14:textId="77777777" w:rsidR="006708D4" w:rsidRDefault="006708D4" w:rsidP="006708D4">
      <w:pPr>
        <w:pStyle w:val="MDPI31text"/>
      </w:pPr>
      <w:r>
        <w:t xml:space="preserve">In a further counterbalanced comparison, 28 Swedish children aged 10–13 years composed expository texts with a built-in automatic STT system and with a keyboard, with order and topic counterbalanced; 16 had reading and writing difficulties identified by </w:t>
      </w:r>
      <w:r w:rsidR="00CF519D">
        <w:t>standardised</w:t>
      </w:r>
      <w:r>
        <w:t xml:space="preserve"> spelling or decoding cut-offs and 12 were reference peers without such difficulties [49]. Both groups left significantly fewer errors in the final text when composing with STT (</w:t>
      </w:r>
      <w:proofErr w:type="gramStart"/>
      <w:r>
        <w:t>F(</w:t>
      </w:r>
      <w:proofErr w:type="gramEnd"/>
      <w:r>
        <w:t xml:space="preserve">1,52) = 14.92, p &lt; 0.001, partial η² = 0.22), the reduction in residual spelling errors was largest among learners with reading and writing difficulties (group-by-condition interaction </w:t>
      </w:r>
      <w:proofErr w:type="gramStart"/>
      <w:r>
        <w:t>F(</w:t>
      </w:r>
      <w:proofErr w:type="gramEnd"/>
      <w:r>
        <w:t>1,52) = 8.88, p = 0.004, partial η² = 0.15</w:t>
      </w:r>
      <w:proofErr w:type="gramStart"/>
      <w:r>
        <w:t>), and</w:t>
      </w:r>
      <w:proofErr w:type="gramEnd"/>
      <w:r>
        <w:t xml:space="preserve"> assessed text quality did not differ between writing conditions (p = 0.95). Meaning-related revisions were rare in both groups and both conditions. Because each child composed a single text per condition after brief training, this study estimates an immediate accommodation effect on transcription accuracy rather than a durable learning effect.</w:t>
      </w:r>
    </w:p>
    <w:p w14:paraId="1AFF75F9" w14:textId="77777777" w:rsidR="006708D4" w:rsidRDefault="006708D4" w:rsidP="006708D4">
      <w:pPr>
        <w:pStyle w:val="MDPI23heading3"/>
      </w:pPr>
      <w:r>
        <w:rPr>
          <w:i/>
        </w:rPr>
        <w:t>3.4.3. TTS and Mixed Speech Technologies for Reading and Listening Outcomes</w:t>
      </w:r>
    </w:p>
    <w:p w14:paraId="555D9CAF" w14:textId="77777777" w:rsidR="006708D4" w:rsidRDefault="006708D4" w:rsidP="006708D4">
      <w:pPr>
        <w:pStyle w:val="MDPI31text"/>
      </w:pPr>
      <w:r>
        <w:t xml:space="preserve">Sixteen reports evaluated reading or listening outcomes [30–35,39–48]. The largest controlled mixed TTS/STT study (n = 149; serious risk of bias) reported improvement over time in both the 24-session technology group and the treatment-as-usual group, with </w:t>
      </w:r>
      <w:proofErr w:type="gramStart"/>
      <w:r>
        <w:t>no</w:t>
      </w:r>
      <w:proofErr w:type="gramEnd"/>
      <w:r>
        <w:t xml:space="preserve"> statistically detectable overall between-group difference immediately after the intervention or at 1-year follow-up [30]. In the five-condition within-participant experiment (n = 29), both TTS conditions produced higher comprehension than silent reading, but synchronised highlighting did not add benefit beyond TTS alone; only the dyslexia-only subgroup had a statistically significant within-subgroup result, and between-profile heterogeneity was not established [31]. In the largest within-participant study (n = 94 grade-8 students with reading difficulties), only the dyslexic cognitive profile had a statistically significant within-profile comprehension gain; the source-reported contrast was a 1.58-</w:t>
      </w:r>
      <w:r>
        <w:lastRenderedPageBreak/>
        <w:t>point grade-equivalent score difference and should not be interpreted as 1.58 years of learning [48].</w:t>
      </w:r>
    </w:p>
    <w:p w14:paraId="0350CD81" w14:textId="77777777" w:rsidR="006708D4" w:rsidRDefault="006708D4" w:rsidP="006708D4">
      <w:pPr>
        <w:pStyle w:val="MDPI31text"/>
      </w:pPr>
      <w:r>
        <w:t xml:space="preserve">Nine of the ten single-case reports in this evidence body evaluated comprehension under TTS conditions [32–35,43–47]; report [39] is described separately below. Young et al. reported higher comprehension during TTS phases for all four participants [32]. Sulaimon and Schaefer reported phase means of 42%, 80%, 43%, and 73% for one participant and 40%, 73%, 23%, and 73% for the other [33]. Schmitt et al. reported continuous TTS as the strongest condition for three of four </w:t>
      </w:r>
      <w:proofErr w:type="gramStart"/>
      <w:r>
        <w:t>learners, but</w:t>
      </w:r>
      <w:proofErr w:type="gramEnd"/>
      <w:r>
        <w:t xml:space="preserve"> did not identify the reported effect-size index [34]. Alqahtani observed improvement in two of three learners and shorter mean session lengths with iPad TTS (5.45 versus 12.73 min) [35]. The ERIC record abstract for [43] states that reading rate and comprehension improved for both participants; phase-level values could not be extracted because the full text was unavailable. Meyer and Bouck [44] reported no statistically detectable difference in fluency, comprehension, or completion time. The publisher abstract for [45] states that neither live nor TTS read-aloud raised comprehension to proficiency and that neither accommodation was superior. A human reader outperformed TTS for all four participants in [46]. Fälth et al. [47] reported variable outcomes in an A–B design, which cannot isolate a TTS effect from time or repeated exposure.</w:t>
      </w:r>
    </w:p>
    <w:p w14:paraId="4DE87EDE" w14:textId="77777777" w:rsidR="006708D4" w:rsidRDefault="006708D4" w:rsidP="006708D4">
      <w:pPr>
        <w:pStyle w:val="MDPI31text"/>
      </w:pPr>
      <w:r>
        <w:t xml:space="preserve">Among eight learners with mild intellectual disability, comprehension was higher while listening with TTS than while reading independently, although only one learner showed clear decoding improvement and the A–B design did not isolate the effect of TTS from repeated practice or time-varying factors [39]. In the mixed-factorial study, the group-by-condition interaction was </w:t>
      </w:r>
      <w:proofErr w:type="gramStart"/>
      <w:r>
        <w:t>F(</w:t>
      </w:r>
      <w:proofErr w:type="gramEnd"/>
      <w:r>
        <w:t xml:space="preserve">2,56) = 4.29, p &lt; 0.05, η² = 0.13 [40]. The ADHD subgroup improved under TTS, </w:t>
      </w:r>
      <w:proofErr w:type="gramStart"/>
      <w:r>
        <w:t>F(</w:t>
      </w:r>
      <w:proofErr w:type="gramEnd"/>
      <w:r>
        <w:t xml:space="preserve">1,18) = 7.00, p &lt; 0.05, η² = 0.28; the dyslexia </w:t>
      </w:r>
      <w:proofErr w:type="gramStart"/>
      <w:r>
        <w:t>subgroup maintained</w:t>
      </w:r>
      <w:proofErr w:type="gramEnd"/>
      <w:r>
        <w:t xml:space="preserve"> comprehension while showing lower reading time or effort, and typical readers did not improve in comprehension. Eye-tracking analyses included 47 of the 59 enrolled participants.</w:t>
      </w:r>
    </w:p>
    <w:p w14:paraId="6B57DC8C" w14:textId="77777777" w:rsidR="006708D4" w:rsidRDefault="006708D4" w:rsidP="006708D4">
      <w:pPr>
        <w:pStyle w:val="MDPI31text"/>
      </w:pPr>
      <w:r>
        <w:t xml:space="preserve">Two further controlled experiments assessed TTS as </w:t>
      </w:r>
      <w:proofErr w:type="gramStart"/>
      <w:r>
        <w:t>an immediate</w:t>
      </w:r>
      <w:proofErr w:type="gramEnd"/>
      <w:r>
        <w:t xml:space="preserve"> reading accommodation. In a randomised two-period crossover experiment involving 49 Swedish schoolchildren with reading disability, TTS increased reading rate in both grade groups, and this effect was not moderated by inattention or hyperactivity symptoms; reading comprehension improved with TTS in grades 3–5 but not in grades 6–9, and higher symptom scores were associated with less comprehension improvement in the younger group and greater improvement in the older group [41]. In a within-participant experiment involving 20 Italian students with dyslexia and 50 students with typical development, both groups achieved higher comprehension and reported fewer episodes of mind wandering in the TTS condition, and students with dyslexia were significantly more on task with TTS than with self-paced silent reading [42]. Both experiments used short, controlled reading tasks and therefore inform immediate access rather than durable skill acquisition.</w:t>
      </w:r>
    </w:p>
    <w:p w14:paraId="24B4C5CC" w14:textId="77777777" w:rsidR="006708D4" w:rsidRDefault="006708D4" w:rsidP="006708D4">
      <w:pPr>
        <w:pStyle w:val="MDPI23heading3"/>
      </w:pPr>
      <w:r>
        <w:rPr>
          <w:i/>
        </w:rPr>
        <w:t>3.4.4. TTS for Broader Academic and Curricular Outcomes</w:t>
      </w:r>
    </w:p>
    <w:p w14:paraId="4614DBFB" w14:textId="77777777" w:rsidR="006708D4" w:rsidRDefault="006708D4" w:rsidP="006708D4">
      <w:pPr>
        <w:pStyle w:val="MDPI31text"/>
      </w:pPr>
      <w:r>
        <w:t xml:space="preserve">Three reports examined outcomes outside the principal reading/listening body [29,36,37]. In the 20-participant </w:t>
      </w:r>
      <w:r w:rsidR="0022309F">
        <w:t>randomised</w:t>
      </w:r>
      <w:r>
        <w:t xml:space="preserve"> trial, the posttest mean on a researcher-developed 50-item Hindi/English achievement test was 28 (SD 3.61) after TTS-supported teaching and 24 (SD 4.52) after conventional teaching (t = 2.186, p &lt; 0.05) [29]. In the non-equivalent mathematics study (n = 20), the adjusted posttest group effect </w:t>
      </w:r>
      <w:r w:rsidR="0022309F">
        <w:t>favoured</w:t>
      </w:r>
      <w:r>
        <w:t xml:space="preserve"> TTS-assisted instruction, </w:t>
      </w:r>
      <w:proofErr w:type="gramStart"/>
      <w:r>
        <w:t>F(</w:t>
      </w:r>
      <w:proofErr w:type="gramEnd"/>
      <w:r>
        <w:t>1,17) = 42.226, p &lt; 0.001, partial η² = 0.713 [36]. The source article reported conflicting posttest SDs for the TTS group; therefore, those descriptive SDs were not used in the synthesis. A single-participant A–B–A report described improved spelling/reading and pronunciation-related performance during TTS-supported e-learning, but the outcome scale and phase-level numerical reporting were not sufficiently clear to derive a reliable effect estimate [37].</w:t>
      </w:r>
    </w:p>
    <w:p w14:paraId="294800DB" w14:textId="77777777" w:rsidR="006708D4" w:rsidRDefault="006708D4" w:rsidP="006708D4">
      <w:pPr>
        <w:pStyle w:val="MDPI23heading3"/>
      </w:pPr>
      <w:r>
        <w:rPr>
          <w:i/>
        </w:rPr>
        <w:lastRenderedPageBreak/>
        <w:t>3.4.5. AI-Assisted Braille Learning</w:t>
      </w:r>
    </w:p>
    <w:p w14:paraId="4A558EC6" w14:textId="77777777" w:rsidR="006708D4" w:rsidRDefault="006708D4" w:rsidP="006708D4">
      <w:pPr>
        <w:pStyle w:val="MDPI31text"/>
      </w:pPr>
      <w:r>
        <w:t>One report evaluated an adaptive Braille Tutor as a supplement to instruction by teachers of students with visual impairments [38]. Ten learners mastered contraction sets in a mean of 7.00 sessions (range 1–12) when teacher instruction was supplemented by the Tutor, compared with 9.58 sessions (range 3–16) for contraction sets taught by the teacher alone. Tutor use varied across learners, and the authors described the difference as a trend rather than a confirmatory effect. Because different contraction sets were used in the two conditions, contraction-set difficulty may have contributed to the observed difference. The outcome was mastery of isolated contractions; independent Braille reading, broader literacy, and classroom achievement were not measured.</w:t>
      </w:r>
    </w:p>
    <w:p w14:paraId="4F532B21" w14:textId="77777777" w:rsidR="006708D4" w:rsidRDefault="006708D4" w:rsidP="006708D4">
      <w:pPr>
        <w:pStyle w:val="MDPI23heading3"/>
      </w:pPr>
      <w:r>
        <w:rPr>
          <w:i/>
        </w:rPr>
        <w:t>3.4.6. Technology Functions and Outcomes for Which No Eligible Evidence Was Located</w:t>
      </w:r>
    </w:p>
    <w:p w14:paraId="44AA6BBA" w14:textId="77777777" w:rsidR="006708D4" w:rsidRDefault="006708D4" w:rsidP="006708D4">
      <w:pPr>
        <w:pStyle w:val="MDPI31text"/>
      </w:pPr>
      <w:r>
        <w:t>The completed search located no eligible report evaluating optical Braille recognition or automatic classroom captioning against a learner-level educational or accessibility outcome, and no eligible study directly quantified classroom discourse access, participation, privacy burden, stigma, device abandonment, or adverse effects. Because the search did not include dedicated engineering, computing, or grey-literature sources, these are gaps in this review’s evidence set; the current search cannot distinguish a true research gap from incomplete coverage, and no GRADE rating was assigned.</w:t>
      </w:r>
    </w:p>
    <w:p w14:paraId="58F39722" w14:textId="77777777" w:rsidR="006708D4" w:rsidRDefault="006708D4" w:rsidP="006708D4">
      <w:pPr>
        <w:pStyle w:val="MDPI22heading2"/>
      </w:pPr>
      <w:r>
        <w:t>3.5. Sensitivity Synthesis Restricted to Lower-Risk and Standards-Compliant Evidence</w:t>
      </w:r>
    </w:p>
    <w:p w14:paraId="13F9E805" w14:textId="77777777" w:rsidR="00247DDB" w:rsidRPr="000D7AD8" w:rsidRDefault="006708D4" w:rsidP="006708D4">
      <w:pPr>
        <w:pStyle w:val="MDPI31text"/>
      </w:pPr>
      <w:r>
        <w:t>A post hoc sensitivity synthesis retained reports judged as low risk or some concerns with RoB 2, low or moderate risk with ROBINS-I, or meeting WWC standards with or without reservations. Twelve of 27 reports were retained: group designs [25,31,41,42,48,49] and single-case designs [32–35,44,46]. Abstract-only reports [43] and [45] were excluded because WWC ratings could not be assigned. Five evidence bodies became empty: STT reading-related outcomes [23,24], general academic achievement [29], mathematics [36], spelling/pronunciation [37], and Braille contraction mastery [38]. In the STT written-expression body, [25] and [49] remained; both are single-session accommodation comparisons rather than instructional interventions. In the TTS reading/listening body, 10 of 16 reports remained; conditional comprehension and reading-efficiency signals persisted, but the largest controlled study [30] was excluded because of serious risk of bias. The restricted synthesis is therefore selectively more favourable and does not demonstrate that all conclusions were unchanged.</w:t>
      </w:r>
    </w:p>
    <w:p w14:paraId="7546B42C" w14:textId="77777777" w:rsidR="00247DDB" w:rsidRPr="000D7AD8" w:rsidRDefault="00247DDB" w:rsidP="00CA5C88">
      <w:pPr>
        <w:pStyle w:val="MDPI21heading1"/>
      </w:pPr>
      <w:r w:rsidRPr="000D7AD8">
        <w:t>4. Discussion</w:t>
      </w:r>
    </w:p>
    <w:p w14:paraId="347AEA34" w14:textId="77777777" w:rsidR="006708D4" w:rsidRDefault="006708D4" w:rsidP="006708D4">
      <w:pPr>
        <w:pStyle w:val="MDPI22heading2"/>
      </w:pPr>
      <w:r>
        <w:t>4.1. Principal Findings</w:t>
      </w:r>
    </w:p>
    <w:p w14:paraId="6A77AE38" w14:textId="77777777" w:rsidR="006708D4" w:rsidRDefault="006708D4" w:rsidP="006708D4">
      <w:pPr>
        <w:pStyle w:val="MDPI31text"/>
      </w:pPr>
      <w:r>
        <w:t>The evidence corpus comprised 27 reports representing up to 26 study series and an arithmetic maximum of 670 enrolled learners, including 577 learners with a disability, plus seven teachers; unresolved overlap among four Swedish cohorts may reduce the unique learner total. Seven reports evaluated STT, 19 evaluated TTS or mixed technologies, and one evaluated an adaptive Braille Tutor. The evidence does not support a pooled estimate or a general effectiveness claim. All seven populated evidence bodies were rated very low certainty. The post hoc sensitivity synthesis retained 12 reports and preserved a conditional TTS pattern but removed all evidence from five single-study bodies and excluded the largest controlled TTS/STT study. No eligible report located by this search evaluated automatic classroom captioning or OBR in relation to a learner-level outcome.</w:t>
      </w:r>
    </w:p>
    <w:p w14:paraId="0C6398AD" w14:textId="77777777" w:rsidR="006708D4" w:rsidRDefault="006708D4" w:rsidP="006708D4">
      <w:pPr>
        <w:pStyle w:val="MDPI31text"/>
      </w:pPr>
      <w:r>
        <w:t xml:space="preserve">For STT, the oldest and largest study series suggested gains in word recognition, spelling, and reading comprehension after STT-supported writing practice [23,24]. These two reports described overlapping, nonrandomised cohorts and legacy speech-recognition systems; they therefore constitute one study series rather than two independent replications. Five later reports suggested that STT can increase written productivity or </w:t>
      </w:r>
      <w:r>
        <w:lastRenderedPageBreak/>
        <w:t>immediately reduce residual text errors for some learners with learning, intellectual, or reading and writing disabilities [25–28,49]. However, gains in text quality, punctuation, sentence structure, and coherence were less consistent, and none of the three STT single-case reports met WWC design standards. Moreover, STT was commonly delivered with explicit writing instruction, teacher modelling, checklists, or TTS revision, and the two counterbalanced comparisons evaluated single sessions. The findings consequently support a possible benefit of a technology-supported instructional package for selected learners and an immediate reduction of transcription barriers, but they do not isolate a durable STT-only learning effect.</w:t>
      </w:r>
    </w:p>
    <w:p w14:paraId="63E4E1C3" w14:textId="77777777" w:rsidR="006708D4" w:rsidRDefault="006708D4" w:rsidP="006708D4">
      <w:pPr>
        <w:pStyle w:val="MDPI31text"/>
      </w:pPr>
      <w:r>
        <w:t>TTS generated the largest body of evidence, but its findings were not uniform. The largest controlled mixed TTS/STT study (n = 149) reported improvement over time in both the technology and treatment-as-usual groups, without a statistically detectable overall between-group difference immediately after the intervention or at 1-year follow-up [30]. Smaller counterbalanced, crossover, and single-case studies reported higher comprehension, greater reading efficiency, or selected condition-specific gains for some learners [31–35,39–48]. Responses differed according to learner profile, grade, and outcome: synchronised highlighting did not add benefit beyond TTS alone in one experiment [31], continuous TTS was not the strongest condition for every participant [34], a human reader outperformed TTS for listening comprehension in one alternating-treatments comparison [46], comprehension benefit was reported only in the younger grade group in the randomised crossover experiment [41], and only one cognitive profile had a statistically significant within-profile gain in the largest within-participant study [48]. Between-subgroup heterogeneity and multiplicity were not consistently addressed. The evidence is therefore more consistent with conditional accommodation signals than with a uniform remedial effect.</w:t>
      </w:r>
    </w:p>
    <w:p w14:paraId="5EB5E987" w14:textId="77777777" w:rsidR="006708D4" w:rsidRDefault="006708D4" w:rsidP="006708D4">
      <w:pPr>
        <w:pStyle w:val="MDPI31text"/>
      </w:pPr>
      <w:r>
        <w:t xml:space="preserve">Evidence for broader curricular outcomes was particularly fragile. Two 20-participant studies reported </w:t>
      </w:r>
      <w:r w:rsidR="0022309F">
        <w:t>favourable</w:t>
      </w:r>
      <w:r>
        <w:t xml:space="preserve"> academic-achievement or mathematics findings [29,36], but one was judged at high risk of bias and the other at serious risk; both used incompletely validated or researcher-reported measures, and the mathematics report contained internally inconsistent descriptive statistics. A single-participant report of spelling and pronunciation-related performance was too incompletely reported to yield a reliable effect estimate [37]. The AI Braille Tutor study found a descriptive reduction in sessions required to master isolated contractions when Tutor </w:t>
      </w:r>
      <w:proofErr w:type="gramStart"/>
      <w:r>
        <w:t>use</w:t>
      </w:r>
      <w:proofErr w:type="gramEnd"/>
      <w:r>
        <w:t xml:space="preserve"> supplemented teacher instruction [38]. It did not establish an effect on independent Braille reading, literacy, participation, or classroom attainment. These findings should therefore be interpreted as signals for further evaluation rather than evidence of established effectiveness.</w:t>
      </w:r>
    </w:p>
    <w:p w14:paraId="03CCCB45" w14:textId="77777777" w:rsidR="006708D4" w:rsidRDefault="006708D4" w:rsidP="006708D4">
      <w:pPr>
        <w:pStyle w:val="MDPI22heading2"/>
      </w:pPr>
      <w:r>
        <w:t>4.2. Interpretation in Relation to Previous Evidence</w:t>
      </w:r>
    </w:p>
    <w:p w14:paraId="629EC6C5" w14:textId="77777777" w:rsidR="006708D4" w:rsidRDefault="006708D4" w:rsidP="006708D4">
      <w:pPr>
        <w:pStyle w:val="MDPI31text"/>
      </w:pPr>
      <w:r>
        <w:t xml:space="preserve">The mixed TTS pattern is compatible with the earlier meta-analysis by Wood et al., which reported a modest mean effect on reading comprehension (d = 0.35, 95% CI 0.14–0.56) and identified study design as a source of heterogeneity [6]. The present synthesis extends that observation in three ways: it separates technology functions rather than pooling read-aloud supports as a single category; it incorporates studies published after that meta-analysis; and it indicates that comprehension benefit was frequently conditional on grade, diagnostic profile, or task, whereas reductions in reading time and task effort were more consistently observed. Because the evidence bodies remained small, heterogeneous, and dominated by </w:t>
      </w:r>
      <w:r w:rsidR="0022309F">
        <w:t>non-randomised</w:t>
      </w:r>
      <w:r>
        <w:t xml:space="preserve"> and single-case designs, these observations refine rather than replace the existing meta-analytic estimate.</w:t>
      </w:r>
    </w:p>
    <w:p w14:paraId="003C4FF5" w14:textId="77777777" w:rsidR="006708D4" w:rsidRDefault="006708D4" w:rsidP="006708D4">
      <w:pPr>
        <w:pStyle w:val="MDPI31text"/>
      </w:pPr>
      <w:r>
        <w:t xml:space="preserve">The STT findings also accord with the scoping review by Matre and Cameron, which distinguished STT as a compensatory writing aid from STT as an instructional technology and </w:t>
      </w:r>
      <w:r w:rsidR="0022309F">
        <w:t>emphasised</w:t>
      </w:r>
      <w:r>
        <w:t xml:space="preserve"> the paucity of high-quality experimental research [5]. That distinction is essential for interpretation. A learner may produce more text when transcription demands </w:t>
      </w:r>
      <w:r>
        <w:lastRenderedPageBreak/>
        <w:t xml:space="preserve">are bypassed without acquiring a durable independent writing skill; conversely, repeated STT-supported practice combined with explicit instruction may contribute to learning that extends beyond immediate device use. The revision-focused comparison included after adjudication illustrates the compensatory side of this distinction directly: removing the spelling barrier immediately reduced the errors remaining in learners’ texts without changing judged text quality [49]. The studies in this review rarely separated these purposes experimentally, and maintenance or </w:t>
      </w:r>
      <w:r w:rsidR="0022309F">
        <w:t>generalisation</w:t>
      </w:r>
      <w:r>
        <w:t xml:space="preserve"> was inconsistently measured. Immediate access, task performance, and skill acquisition should therefore not be treated as interchangeable outcomes.</w:t>
      </w:r>
    </w:p>
    <w:p w14:paraId="24D41C0F" w14:textId="77777777" w:rsidR="006708D4" w:rsidRDefault="006708D4" w:rsidP="006708D4">
      <w:pPr>
        <w:pStyle w:val="MDPI31text"/>
      </w:pPr>
      <w:r>
        <w:t>The functions for which no eligible report was located clarify another boundary. Broader accessibility literature has examined captions, signed communication, and their combined use in educational settings [14], but the present eligibility criteria required an automatic technology and a learner-level comparator or experimental phase. Similarly, high OBR accuracy in technical datasets [9,10] cannot establish whether school-age Braille readers gain literacy, participation, or independence. Because this review did not search engineering, computing, or grey-literature sources, the absence of eligible learner-level evidence in these categories is a gap in this review’s evidence set; the current search cannot distinguish a true research gap from incomplete coverage and does not indicate that the technologies are ineffective.</w:t>
      </w:r>
    </w:p>
    <w:p w14:paraId="78452BD0" w14:textId="77777777" w:rsidR="006708D4" w:rsidRDefault="006708D4" w:rsidP="006708D4">
      <w:pPr>
        <w:pStyle w:val="MDPI22heading2"/>
      </w:pPr>
      <w:r>
        <w:t>4.3. Explaining Variation in Learner Response</w:t>
      </w:r>
    </w:p>
    <w:p w14:paraId="10AEB3EA" w14:textId="77777777" w:rsidR="006708D4" w:rsidRDefault="006708D4" w:rsidP="006708D4">
      <w:pPr>
        <w:pStyle w:val="MDPI31text"/>
      </w:pPr>
      <w:r>
        <w:t xml:space="preserve">A plausible explanation for the observed heterogeneity is the degree of functional match between the technology and the learner’s principal access barrier. STT primarily reduces transcription demands; it does not independently provide ideas, </w:t>
      </w:r>
      <w:r w:rsidR="0022309F">
        <w:t>organise</w:t>
      </w:r>
      <w:r>
        <w:t xml:space="preserve"> a narrative, or ensure accurate revision. TTS primarily reduces print-decoding demands; it does not resolve limited oral-language comprehension, vocabulary, background knowledge, sustained attention, or difficulty integrating information. Accordingly, productivity or transcription accuracy may improve without parallel improvement in writing quality, and reading time or effort may decline without a measurable increase in comprehension. These mechanistic interpretations are consistent with the outcome patterns in the included reports, but they were not tested directly and should be regarded as hypotheses rather than established mediators.</w:t>
      </w:r>
    </w:p>
    <w:p w14:paraId="1938DA79" w14:textId="77777777" w:rsidR="006708D4" w:rsidRDefault="006708D4" w:rsidP="006708D4">
      <w:pPr>
        <w:pStyle w:val="MDPI31text"/>
      </w:pPr>
      <w:r>
        <w:t xml:space="preserve">Task and implementation conditions may also modify response. The </w:t>
      </w:r>
      <w:proofErr w:type="gramStart"/>
      <w:r>
        <w:t>included interventions</w:t>
      </w:r>
      <w:proofErr w:type="gramEnd"/>
      <w:r>
        <w:t xml:space="preserve"> </w:t>
      </w:r>
      <w:proofErr w:type="gramStart"/>
      <w:r>
        <w:t>differed</w:t>
      </w:r>
      <w:proofErr w:type="gramEnd"/>
      <w:r>
        <w:t xml:space="preserve"> in device and software generation, voice and display features, duration, training intensity, teacher support, comparator, and outcome timing. Some evaluated </w:t>
      </w:r>
      <w:proofErr w:type="gramStart"/>
      <w:r>
        <w:t>a brief</w:t>
      </w:r>
      <w:proofErr w:type="gramEnd"/>
      <w:r>
        <w:t xml:space="preserve"> accommodation during a controlled task, whereas others embedded technology within weeks or months of </w:t>
      </w:r>
      <w:r w:rsidR="0022309F">
        <w:t>individualised</w:t>
      </w:r>
      <w:r>
        <w:t xml:space="preserve"> instruction. These conditions address different questions and cannot be collapsed into a common treatment dose. The </w:t>
      </w:r>
      <w:r w:rsidR="0022309F">
        <w:t>favourable</w:t>
      </w:r>
      <w:r>
        <w:t xml:space="preserve"> outcomes observed in multicomponent interventions may reflect the technology, the instructional support, repeated practice, increased engagement, or their interaction.</w:t>
      </w:r>
    </w:p>
    <w:p w14:paraId="35220BDB" w14:textId="77777777" w:rsidR="006708D4" w:rsidRDefault="006708D4" w:rsidP="006708D4">
      <w:pPr>
        <w:pStyle w:val="MDPI31text"/>
      </w:pPr>
      <w:r>
        <w:t xml:space="preserve">For adaptive Braille learning, the same distinction applies. Fewer sessions to mastery of isolated contraction sets may represent useful practice efficiency, but the finding comes from a single study of ten learners published in 2016. The technology-supported and teacher-only conditions used different contraction sets, so contraction-set difficulty may have contributed to the observed difference. Transfer to fluent Braille reading, comprehension, independent use across settings, and wider educational participation requires direct evaluation. Similarly, because none of the included reports measured privacy, stigma, fatigue, error-correction burden, or abandonment, favourable learning outcomes cannot be assumed to imply acceptable implementation. Effectiveness, usability, acceptability, and equity are related </w:t>
      </w:r>
      <w:proofErr w:type="gramStart"/>
      <w:r>
        <w:t>but</w:t>
      </w:r>
      <w:proofErr w:type="gramEnd"/>
      <w:r>
        <w:t xml:space="preserve"> distinct dimensions. The explanations offered in this subsection are hypotheses generated to account for the observed pattern of results; none was </w:t>
      </w:r>
      <w:r>
        <w:lastRenderedPageBreak/>
        <w:t>tested as a mediator in the included studies, and they should not be read as effect conclusions.</w:t>
      </w:r>
    </w:p>
    <w:p w14:paraId="762D975D" w14:textId="77777777" w:rsidR="006708D4" w:rsidRDefault="006708D4" w:rsidP="006708D4">
      <w:pPr>
        <w:pStyle w:val="MDPI22heading2"/>
      </w:pPr>
      <w:r>
        <w:t>4.4. Implications for Practice and Policy</w:t>
      </w:r>
    </w:p>
    <w:p w14:paraId="4E14BD93" w14:textId="77777777" w:rsidR="006708D4" w:rsidRDefault="006708D4" w:rsidP="006708D4">
      <w:pPr>
        <w:pStyle w:val="MDPI31text"/>
      </w:pPr>
      <w:r>
        <w:t>The review does not support universal implementation recommendations. Where schools already use STT or TTS, individualised monitoring of learner outcomes and burden is a pragmatic safeguard rather than an effect conclusion from this evidence base. Multidisciplinary school and rehabilitation teams may identify the specific barrier to be addressed, define a measurable learner-level goal, and confirm that the technology’s function matches that goal. A monitored trial can compare performance with and without the accommodation using the same type of task. Relevant indicators may include comprehension, text productivity and quality, task-completion time, independence, correction burden, and learner preference. Continued use may reasonably depend on demonstrated benefit and manageable burden for that learner rather than on diagnosis or device availability alone.</w:t>
      </w:r>
    </w:p>
    <w:p w14:paraId="0CB994BC" w14:textId="77777777" w:rsidR="006708D4" w:rsidRDefault="006708D4" w:rsidP="006708D4">
      <w:pPr>
        <w:pStyle w:val="MDPI31text"/>
      </w:pPr>
      <w:r>
        <w:t>Technology should supplement rather than displace evidence-based instruction and human support. STT users may require explicit teaching in dictation, planning, punctuation, error detection, and revision. TTS users may require instruction in navigation, listening strategies, pace adjustment, and checking meaning. Braille-learning tools should remain integrated with instruction from appropriately qualified professionals until independent reading and transfer have been demonstrated. A lack of benefit from one configuration should prompt reconsideration of the task, settings, training, or alternative accommodation rather than the assumption that the learner cannot benefit from assistive technology.</w:t>
      </w:r>
    </w:p>
    <w:p w14:paraId="468BAC17" w14:textId="77777777" w:rsidR="006708D4" w:rsidRDefault="006708D4" w:rsidP="006708D4">
      <w:pPr>
        <w:pStyle w:val="MDPI31text"/>
      </w:pPr>
      <w:r>
        <w:t xml:space="preserve">Procurement decisions should extend beyond advertised recognition accuracy. Local evaluation should consider compatibility with curricular platforms and assistive devices, performance in typical classroom noise, language and accent coverage, accessibility of error correction, technical support, data governance, and the availability of a </w:t>
      </w:r>
      <w:r w:rsidR="0022309F">
        <w:t>non-technology</w:t>
      </w:r>
      <w:r>
        <w:t xml:space="preserve"> alternative. These factors were not comparatively tested in the included studies and are therefore implementation considerations rather than effect estimates from this review. Policies should also preserve learner choice and periodic reassessment because needs and technology performance may change with age, curriculum, and context.</w:t>
      </w:r>
    </w:p>
    <w:p w14:paraId="7755C63E" w14:textId="77777777" w:rsidR="006708D4" w:rsidRDefault="006708D4" w:rsidP="006708D4">
      <w:pPr>
        <w:pStyle w:val="MDPI22heading2"/>
      </w:pPr>
      <w:r>
        <w:t>4.5. Priorities for Future Research</w:t>
      </w:r>
    </w:p>
    <w:p w14:paraId="30A33B33" w14:textId="77777777" w:rsidR="006708D4" w:rsidRDefault="006708D4" w:rsidP="006708D4">
      <w:pPr>
        <w:pStyle w:val="MDPI31text"/>
      </w:pPr>
      <w:r>
        <w:t xml:space="preserve">Future evaluations should test current-generation technologies in authentic primary and secondary school contexts. Parallel-group or </w:t>
      </w:r>
      <w:r w:rsidR="0022309F">
        <w:t>cluster-randomised</w:t>
      </w:r>
      <w:r>
        <w:t xml:space="preserve"> trials should report sequence generation, allocation concealment, baseline comparability, attrition, intervention fidelity, protocol deviations, and prespecified analyses. Blinded outcome assessment should be used where feasible, and sample-size calculations should be based on a clearly designated primary learner-level outcome. Validated measures and confidence intervals are needed so that statistical findings can be judged for educational importance as well as significance.</w:t>
      </w:r>
    </w:p>
    <w:p w14:paraId="0122E4FB" w14:textId="77777777" w:rsidR="006708D4" w:rsidRDefault="006708D4" w:rsidP="006708D4">
      <w:pPr>
        <w:pStyle w:val="MDPI31text"/>
      </w:pPr>
      <w:r>
        <w:t xml:space="preserve">Because average effects may conceal important response variation, studies should prespecify a small number of credible effect modifiers, such as baseline decoding, oral-language comprehension, writing fluency, attention profile, age, language, and prior technology experience. These analyses require adequate power and should not rely on post hoc subgroup selection. Factorial, additive, or dismantling designs could distinguish the contribution of the technology from explicit instruction, teacher support, </w:t>
      </w:r>
      <w:r w:rsidR="0022309F">
        <w:t>synchronised</w:t>
      </w:r>
      <w:r>
        <w:t xml:space="preserve"> highlighting, or repeated practice. Follow-up should examine retention, </w:t>
      </w:r>
      <w:r w:rsidR="0022309F">
        <w:t>generalisation</w:t>
      </w:r>
      <w:r>
        <w:t xml:space="preserve"> to untaught tasks, and independent use after structured support is reduced.</w:t>
      </w:r>
    </w:p>
    <w:p w14:paraId="32B70F4E" w14:textId="77777777" w:rsidR="006708D4" w:rsidRDefault="006708D4" w:rsidP="006708D4">
      <w:pPr>
        <w:pStyle w:val="MDPI31text"/>
      </w:pPr>
      <w:r>
        <w:t xml:space="preserve">Well-conducted single-case experiments remain valuable for heterogeneous, low-incidence populations, but future studies should satisfy contemporary design standards. </w:t>
      </w:r>
      <w:r>
        <w:lastRenderedPageBreak/>
        <w:t xml:space="preserve">This requires adequate and stable baseline measurement, at least three eligible demonstrations of effect, planned replication, independent and reliable outcome measurement, transparent phase-level data, and maintenance or </w:t>
      </w:r>
      <w:r w:rsidR="0022309F">
        <w:t>generalisation</w:t>
      </w:r>
      <w:r>
        <w:t xml:space="preserve"> assessment where appropriate. Prospective registration, accessible protocols, complete outcome reporting, and independent replication would reduce selective-reporting concerns across both group and single-case research.</w:t>
      </w:r>
    </w:p>
    <w:p w14:paraId="33D2FDED" w14:textId="77777777" w:rsidR="006708D4" w:rsidRDefault="006708D4" w:rsidP="006708D4">
      <w:pPr>
        <w:pStyle w:val="MDPI31text"/>
      </w:pPr>
      <w:r>
        <w:t>Priority topics for an updated, broader search and subsequent research are learner-level evaluations of automatic classroom captioning and OBR, together with replication of adaptive Braille-learning systems. Captioning studies should measure access to teacher and peer discourse, comprehension, participation, correction burden, and performance across realistic acoustic and linguistic conditions. OBR and Braille-learning studies should move beyond character recognition or isolated contractions to fluent reading, comprehension, independence, and curricular use. Across technologies, a core outcome framework should include academic performance, participation, task burden, acceptability, privacy, adverse effects, abandonment, equity, implementation cost, and longer-term educational consequences.</w:t>
      </w:r>
    </w:p>
    <w:p w14:paraId="4064433A" w14:textId="77777777" w:rsidR="006708D4" w:rsidRDefault="006708D4" w:rsidP="006708D4">
      <w:pPr>
        <w:pStyle w:val="MDPI22heading2"/>
      </w:pPr>
      <w:r>
        <w:t>4.6. Strengths and Limitations</w:t>
      </w:r>
    </w:p>
    <w:p w14:paraId="6173ED42" w14:textId="77777777" w:rsidR="006708D4" w:rsidRDefault="006708D4" w:rsidP="006708D4">
      <w:pPr>
        <w:pStyle w:val="MDPI31text"/>
      </w:pPr>
      <w:r>
        <w:t>Methodological strengths include explicit learner-level eligibility criteria, separation of technology functions, definition of synthesis PICOs and time points, distinction between reports and possible study series, avoidance of confirmed double counting in [23]</w:t>
      </w:r>
      <w:proofErr w:type="gramStart"/>
      <w:r>
        <w:t>/[</w:t>
      </w:r>
      <w:proofErr w:type="gramEnd"/>
      <w:r>
        <w:t>24], design-appropriate appraisal tools, and avoidance of statistically pooling incompatible outcomes or designs. The review also reports empty evidence categories as gaps in the located evidence, resolved boundary reports identified during revision-stage supplementary searching, and was prospectively registered in PROSPERO (registration ID: CRD420261513927). The synthesis PICOs were consolidated during revision, and the lower-risk sensitivity analysis was post hoc; both are labelled accordingly rather than described as prospectively prespecified.</w:t>
      </w:r>
    </w:p>
    <w:p w14:paraId="3761F5C3" w14:textId="77777777" w:rsidR="006708D4" w:rsidRDefault="006708D4" w:rsidP="006708D4">
      <w:pPr>
        <w:pStyle w:val="MDPI31text"/>
      </w:pPr>
      <w:r>
        <w:t xml:space="preserve">The evidence base nevertheless imposes substantial limitations. Studies were generally small, brief, non-randomised, or </w:t>
      </w:r>
      <w:proofErr w:type="gramStart"/>
      <w:r>
        <w:t>single-case</w:t>
      </w:r>
      <w:proofErr w:type="gramEnd"/>
      <w:r>
        <w:t xml:space="preserve">, with heterogeneous outcomes and multicomponent interventions. Two randomised reports were identified: one at high risk of bias and one with some concerns. Five of ten non-randomised reports were at serious risk. Of 13 single-case reports that could be rated, seven did not meet WWC standards; two further reports were not assessable because full texts were unavailable. Only two reports supplied an effect estimate with </w:t>
      </w:r>
      <w:proofErr w:type="gramStart"/>
      <w:r>
        <w:t>a confidence</w:t>
      </w:r>
      <w:proofErr w:type="gramEnd"/>
      <w:r>
        <w:t xml:space="preserve"> interval. Report [36] contained internally inconsistent descriptive statistics, [37] did not define its outcome scale sufficiently, and [39] contained a contradiction between narrative and participant-level baseline counts. Findings for [43] and [45] were limited to abstracts and were excluded from the sensitivity synthesis. These limitations explain the very low certainty ratings and preclude a precise benefit estimate or dependable responder profile.</w:t>
      </w:r>
    </w:p>
    <w:p w14:paraId="441E0C30" w14:textId="77777777" w:rsidR="006708D4" w:rsidRDefault="006708D4" w:rsidP="006708D4">
      <w:pPr>
        <w:pStyle w:val="MDPI31text"/>
      </w:pPr>
      <w:r>
        <w:t xml:space="preserve">Review-process limitations are substantial. Screening, data extraction, and appraisal were performed by one reviewer without independent duplicate conduct or measurement of inter-rater agreement; a same-reviewer verification pass does not remove the risk of selection, extraction, or judgment error. Completed signalling-question forms with supporting quotations were not archived for publication, so tool-level judgments are summarised rather than fully reproducible from the review package. The primary search covered PubMed, Web of Science, Scopus, PsycINFO, and the first 200 ranked Google Scholar results, together with citation and targeted publisher-platform searching, but did not include dedicated education, nursing, engineering, computing, dissertation, grey-literature, or trial-register sources; the PsycINFO host platform was not recorded. Verification and review-stage supplementary searching identified additional eligible reports after the primary search closed, indicating that further eligible evidence may have been missed. The </w:t>
      </w:r>
      <w:r>
        <w:lastRenderedPageBreak/>
        <w:t>strategies were not peer-reviewed against the PRESS checklist; the design concept may have reduced sensitivity, and restriction to English-language, peer-reviewed full articles may have introduced language and publication bias. The findings should therefore be interpreted as provisional pending an updated multidisciplinary search and independent duplicate review.</w:t>
      </w:r>
    </w:p>
    <w:p w14:paraId="4FC658D1" w14:textId="77777777" w:rsidR="006708D4" w:rsidRDefault="006708D4" w:rsidP="006708D4">
      <w:pPr>
        <w:pStyle w:val="MDPI31text"/>
      </w:pPr>
      <w:r>
        <w:t xml:space="preserve">Meta-analysis was not feasible across or within the synthesis groups in Table S4, Panel A because no group contained enough homogeneous study series with comparable estimates. Formal small-study-effect assessment was not possible, and publication bias was judged qualitatively. </w:t>
      </w:r>
      <w:proofErr w:type="gramStart"/>
      <w:r>
        <w:t>The narrative</w:t>
      </w:r>
      <w:proofErr w:type="gramEnd"/>
      <w:r>
        <w:t xml:space="preserve"> synthesis cannot quantify a common effect. WWC ratings are the review authors’ application of published standards, not official WWC determinations, and reports [43] and [45] could not be rated from abstracts. Exclusion of qualitative, technical-only, human-voice, adult, and noncomparative evidence </w:t>
      </w:r>
      <w:proofErr w:type="gramStart"/>
      <w:r>
        <w:t>limits</w:t>
      </w:r>
      <w:proofErr w:type="gramEnd"/>
      <w:r>
        <w:t xml:space="preserve"> conclusions about usability, technical readiness, and settings beyond school-age education.</w:t>
      </w:r>
    </w:p>
    <w:p w14:paraId="074A196E" w14:textId="77777777" w:rsidR="00247DDB" w:rsidRPr="000D7AD8" w:rsidRDefault="00247DDB" w:rsidP="00CA5C88">
      <w:pPr>
        <w:pStyle w:val="MDPI21heading1"/>
      </w:pPr>
      <w:r w:rsidRPr="000D7AD8">
        <w:t>5. Conclusions</w:t>
      </w:r>
    </w:p>
    <w:p w14:paraId="40BE39B9" w14:textId="77777777" w:rsidR="006708D4" w:rsidRDefault="006708D4" w:rsidP="006708D4">
      <w:pPr>
        <w:pStyle w:val="MDPI31text"/>
      </w:pPr>
      <w:r>
        <w:t>Across 27 reports representing up to 26 study series, STT and TTS findings varied by learner, task, intervention package, and outcome; one small study evaluated an adaptive Braille Tutor. The evidence was very uncertain and does not establish general effectiveness. The limited search identified no eligible learner-level evaluation of automatic classroom captioning or optical Braille recognition, but it cannot establish that none exists.</w:t>
      </w:r>
    </w:p>
    <w:p w14:paraId="5CB940DA" w14:textId="77777777" w:rsidR="00247DDB" w:rsidRDefault="006708D4" w:rsidP="006708D4">
      <w:pPr>
        <w:pStyle w:val="MDPI31text"/>
      </w:pPr>
      <w:r>
        <w:t xml:space="preserve">An updated multidisciplinary search, independent duplicate review procedures, and rigorously designed function-specific studies are needed before firm </w:t>
      </w:r>
      <w:proofErr w:type="gramStart"/>
      <w:r>
        <w:t>practice</w:t>
      </w:r>
      <w:proofErr w:type="gramEnd"/>
      <w:r>
        <w:t xml:space="preserve"> or policy recommendations can be made. Where STT or TTS </w:t>
      </w:r>
      <w:proofErr w:type="gramStart"/>
      <w:r>
        <w:t>is</w:t>
      </w:r>
      <w:proofErr w:type="gramEnd"/>
      <w:r>
        <w:t xml:space="preserve"> already in use, individualised monitoring of learner outcomes and burden is a pragmatic safeguard rather than an effect conclusion from this review.</w:t>
      </w:r>
    </w:p>
    <w:p w14:paraId="19483167" w14:textId="2EA94AF2" w:rsidR="00261819" w:rsidRPr="000D7AD8" w:rsidRDefault="00261819" w:rsidP="00261819">
      <w:pPr>
        <w:pStyle w:val="MDPI21heading1"/>
      </w:pPr>
      <w:r>
        <w:t xml:space="preserve">6. Patent </w:t>
      </w:r>
    </w:p>
    <w:p w14:paraId="49F9D272" w14:textId="77777777" w:rsidR="006708D4" w:rsidRPr="000D7AD8" w:rsidRDefault="006708D4" w:rsidP="00CF519D">
      <w:pPr>
        <w:pStyle w:val="MDPI62backmatter"/>
      </w:pPr>
      <w:r w:rsidRPr="00CF519D">
        <w:rPr>
          <w:b/>
        </w:rPr>
        <w:t>Supplementary Materials:</w:t>
      </w:r>
      <w:r>
        <w:t xml:space="preserve"> </w:t>
      </w:r>
      <w:r w:rsidRPr="00CF519D">
        <w:t>Table S1, completed search strategies and reported retrieval yields; Table S2, detailed characteristics and principal findings of the 27 included reports; Table S3, design-specific methodological appraisal; Table S4, consolidated transparency, synthesis, linkage, protocol-amendment, and eligibility decisions. The PRISMA 2020 checklist is submitted as a separate journal reporting file.</w:t>
      </w:r>
    </w:p>
    <w:p w14:paraId="100B44CC" w14:textId="77777777" w:rsidR="00247DDB" w:rsidRPr="000D7AD8" w:rsidRDefault="00247DDB" w:rsidP="00CA5C88">
      <w:pPr>
        <w:pStyle w:val="MDPI62backmatter"/>
      </w:pPr>
      <w:r>
        <w:rPr>
          <w:b/>
        </w:rPr>
        <w:t xml:space="preserve">Author Contributions: </w:t>
      </w:r>
      <w:r>
        <w:t>Conceptualization, A.K.D. and N.A.A.; methodology, A.K.D.; investigation, A.K.D.; data curation, A.K.D.; formal analysis, A.K.D.; writing—original draft preparation, A.K.D.; writing—review and editing, A.K.D. and N.A.A.; supervision, N.A.A. All authors have read and agreed to the published version of the manuscript.</w:t>
      </w:r>
    </w:p>
    <w:p w14:paraId="1B5AF05F" w14:textId="77777777" w:rsidR="00247DDB" w:rsidRPr="000D7AD8" w:rsidRDefault="00247DDB" w:rsidP="00CA5C88">
      <w:pPr>
        <w:pStyle w:val="MDPI62backmatter"/>
      </w:pPr>
      <w:r>
        <w:rPr>
          <w:b/>
        </w:rPr>
        <w:t xml:space="preserve">Funding: </w:t>
      </w:r>
      <w:r>
        <w:t>This research was funded by the King Salman Center for Disability Research through Excellence Research Center grant number KSCDR-ERC-2024-01.</w:t>
      </w:r>
    </w:p>
    <w:p w14:paraId="0AC43113" w14:textId="77777777" w:rsidR="002A6DB9" w:rsidRPr="000D7AD8" w:rsidRDefault="002A6DB9" w:rsidP="00CA5C88">
      <w:pPr>
        <w:pStyle w:val="MDPI62backmatter"/>
        <w:rPr>
          <w:b/>
        </w:rPr>
      </w:pPr>
      <w:r>
        <w:rPr>
          <w:b/>
        </w:rPr>
        <w:t xml:space="preserve">Institutional Review Board Statement: </w:t>
      </w:r>
      <w:r>
        <w:t>Not applicable. This review analysed published aggregate data and involved no recruitment of human participants or access to identifiable individual-level information.</w:t>
      </w:r>
    </w:p>
    <w:p w14:paraId="239B6119" w14:textId="77777777" w:rsidR="00CF519D" w:rsidRPr="000D7AD8" w:rsidRDefault="00657B09" w:rsidP="00261819">
      <w:pPr>
        <w:pStyle w:val="MDPI62backmatter"/>
      </w:pPr>
      <w:r>
        <w:rPr>
          <w:b/>
        </w:rPr>
        <w:t xml:space="preserve">Informed Consent Statement: </w:t>
      </w:r>
      <w:r>
        <w:t>Not applicable.</w:t>
      </w:r>
    </w:p>
    <w:p w14:paraId="1AE8C298" w14:textId="77777777" w:rsidR="00B349A9" w:rsidRPr="000D7AD8" w:rsidRDefault="00B349A9" w:rsidP="00CA5C88">
      <w:pPr>
        <w:pStyle w:val="MDPI62backmatter"/>
      </w:pPr>
      <w:r>
        <w:rPr>
          <w:b/>
        </w:rPr>
        <w:t xml:space="preserve">Data Availability Statement: </w:t>
      </w:r>
      <w:r>
        <w:t>All data supporting this review are contained within the article and its Supplementary Materials; no new primary datasets were generated.</w:t>
      </w:r>
    </w:p>
    <w:p w14:paraId="6E7DF1C5" w14:textId="77777777" w:rsidR="00247DDB" w:rsidRPr="000D7AD8" w:rsidRDefault="00CB4055" w:rsidP="00CA5C88">
      <w:pPr>
        <w:pStyle w:val="MDPI62backmatter"/>
      </w:pPr>
      <w:r>
        <w:rPr>
          <w:b/>
        </w:rPr>
        <w:t xml:space="preserve">Acknowledgments: </w:t>
      </w:r>
      <w:r>
        <w:t>Not applicable.</w:t>
      </w:r>
    </w:p>
    <w:p w14:paraId="70B10761" w14:textId="77777777" w:rsidR="00247DDB" w:rsidRPr="000D7AD8" w:rsidRDefault="00247DDB" w:rsidP="00CA5C88">
      <w:pPr>
        <w:pStyle w:val="MDPI62backmatter"/>
      </w:pPr>
      <w:r>
        <w:rPr>
          <w:b/>
        </w:rPr>
        <w:t xml:space="preserve">Conflicts of Interest: </w:t>
      </w:r>
      <w:r>
        <w:t>The authors declare no conflicts of interest.</w:t>
      </w:r>
    </w:p>
    <w:p w14:paraId="5274F4F8" w14:textId="77777777" w:rsidR="00CA5C88" w:rsidRPr="000D7AD8" w:rsidRDefault="00CA5C88" w:rsidP="00CA5C88">
      <w:pPr>
        <w:pStyle w:val="MDPI21heading1"/>
        <w:keepNext/>
        <w:keepLines/>
        <w:rPr>
          <w:szCs w:val="24"/>
        </w:rPr>
      </w:pPr>
      <w:bookmarkStart w:id="0" w:name="_Hlk181004646"/>
      <w:r w:rsidRPr="000D7AD8">
        <w:rPr>
          <w:szCs w:val="24"/>
        </w:rPr>
        <w:lastRenderedPageBreak/>
        <w:t>Abbreviations</w:t>
      </w:r>
    </w:p>
    <w:p w14:paraId="6BE6BB1D" w14:textId="77777777" w:rsidR="00CA5C88" w:rsidRPr="000D7AD8" w:rsidRDefault="00CA5C88" w:rsidP="00CA5C88">
      <w:pPr>
        <w:pStyle w:val="MDPI32textnoindent"/>
        <w:keepNext/>
        <w:keepLines/>
        <w:spacing w:after="240"/>
        <w:rPr>
          <w:sz w:val="18"/>
          <w:szCs w:val="18"/>
        </w:rPr>
      </w:pPr>
      <w:r w:rsidRPr="000D7AD8">
        <w:rPr>
          <w:sz w:val="18"/>
          <w:szCs w:val="18"/>
        </w:rPr>
        <w:t>The following abbreviations are used in this manuscript:</w:t>
      </w:r>
    </w:p>
    <w:tbl>
      <w:tblPr>
        <w:tblStyle w:val="TableGrid"/>
        <w:tblW w:w="0" w:type="auto"/>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
        <w:gridCol w:w="5169"/>
      </w:tblGrid>
      <w:tr w:rsidR="00CA5C88" w:rsidRPr="000D7AD8" w14:paraId="0F342EEC" w14:textId="77777777" w:rsidTr="00261819">
        <w:trPr>
          <w:cantSplit/>
          <w:tblHeader/>
        </w:trPr>
        <w:tc>
          <w:tcPr>
            <w:tcW w:w="0" w:type="auto"/>
            <w:vAlign w:val="center"/>
          </w:tcPr>
          <w:p w14:paraId="0DA52C64" w14:textId="77777777" w:rsidR="00CA5C88" w:rsidRPr="000D7AD8" w:rsidRDefault="00CA5C88" w:rsidP="000D20E3">
            <w:pPr>
              <w:pStyle w:val="MDPI42tablebody"/>
              <w:spacing w:line="240" w:lineRule="auto"/>
              <w:jc w:val="left"/>
              <w:rPr>
                <w:sz w:val="18"/>
                <w:szCs w:val="18"/>
              </w:rPr>
            </w:pPr>
            <w:r>
              <w:rPr>
                <w:b/>
                <w:sz w:val="16"/>
              </w:rPr>
              <w:t>Abbreviation</w:t>
            </w:r>
          </w:p>
        </w:tc>
        <w:tc>
          <w:tcPr>
            <w:tcW w:w="0" w:type="auto"/>
            <w:vAlign w:val="center"/>
          </w:tcPr>
          <w:p w14:paraId="14A4BEB0" w14:textId="77777777" w:rsidR="00CA5C88" w:rsidRPr="000D7AD8" w:rsidRDefault="00CA5C88" w:rsidP="000D20E3">
            <w:pPr>
              <w:pStyle w:val="MDPI42tablebody"/>
              <w:spacing w:line="240" w:lineRule="auto"/>
              <w:jc w:val="left"/>
              <w:rPr>
                <w:sz w:val="18"/>
                <w:szCs w:val="18"/>
              </w:rPr>
            </w:pPr>
            <w:r>
              <w:rPr>
                <w:b/>
                <w:sz w:val="16"/>
              </w:rPr>
              <w:t>Definition</w:t>
            </w:r>
          </w:p>
        </w:tc>
      </w:tr>
      <w:tr w:rsidR="004D1808" w14:paraId="72F874DD" w14:textId="77777777" w:rsidTr="00261819">
        <w:trPr>
          <w:cantSplit/>
        </w:trPr>
        <w:tc>
          <w:tcPr>
            <w:tcW w:w="0" w:type="auto"/>
          </w:tcPr>
          <w:p w14:paraId="5FF8C410" w14:textId="77777777" w:rsidR="004D1808" w:rsidRDefault="00000000" w:rsidP="00261819">
            <w:pPr>
              <w:pStyle w:val="MDPI42tablebody"/>
              <w:jc w:val="left"/>
            </w:pPr>
            <w:r>
              <w:rPr>
                <w:sz w:val="16"/>
              </w:rPr>
              <w:t>ADHD</w:t>
            </w:r>
          </w:p>
        </w:tc>
        <w:tc>
          <w:tcPr>
            <w:tcW w:w="0" w:type="auto"/>
          </w:tcPr>
          <w:p w14:paraId="658679B8" w14:textId="77777777" w:rsidR="004D1808" w:rsidRDefault="00000000">
            <w:pPr>
              <w:pStyle w:val="MDPI42tablebody"/>
            </w:pPr>
            <w:r>
              <w:rPr>
                <w:sz w:val="16"/>
              </w:rPr>
              <w:t>Attention-deficit/hyperactivity disorder</w:t>
            </w:r>
          </w:p>
        </w:tc>
      </w:tr>
      <w:tr w:rsidR="004D1808" w14:paraId="24EACFAB" w14:textId="77777777" w:rsidTr="00261819">
        <w:trPr>
          <w:cantSplit/>
        </w:trPr>
        <w:tc>
          <w:tcPr>
            <w:tcW w:w="0" w:type="auto"/>
          </w:tcPr>
          <w:p w14:paraId="40A82724" w14:textId="77777777" w:rsidR="004D1808" w:rsidRDefault="00000000" w:rsidP="00261819">
            <w:pPr>
              <w:pStyle w:val="MDPI42tablebody"/>
              <w:jc w:val="left"/>
            </w:pPr>
            <w:r>
              <w:rPr>
                <w:sz w:val="16"/>
              </w:rPr>
              <w:t>AI</w:t>
            </w:r>
          </w:p>
        </w:tc>
        <w:tc>
          <w:tcPr>
            <w:tcW w:w="0" w:type="auto"/>
          </w:tcPr>
          <w:p w14:paraId="0DF25670" w14:textId="77777777" w:rsidR="004D1808" w:rsidRDefault="00000000">
            <w:pPr>
              <w:pStyle w:val="MDPI42tablebody"/>
            </w:pPr>
            <w:r>
              <w:rPr>
                <w:sz w:val="16"/>
              </w:rPr>
              <w:t>Artificial intelligence</w:t>
            </w:r>
          </w:p>
        </w:tc>
      </w:tr>
      <w:tr w:rsidR="004D1808" w14:paraId="0B5F989E" w14:textId="77777777" w:rsidTr="00261819">
        <w:trPr>
          <w:cantSplit/>
        </w:trPr>
        <w:tc>
          <w:tcPr>
            <w:tcW w:w="0" w:type="auto"/>
          </w:tcPr>
          <w:p w14:paraId="5F2DA9D0" w14:textId="77777777" w:rsidR="004D1808" w:rsidRDefault="00000000" w:rsidP="00261819">
            <w:pPr>
              <w:pStyle w:val="MDPI42tablebody"/>
              <w:jc w:val="left"/>
            </w:pPr>
            <w:r>
              <w:rPr>
                <w:sz w:val="16"/>
              </w:rPr>
              <w:t>CI</w:t>
            </w:r>
          </w:p>
        </w:tc>
        <w:tc>
          <w:tcPr>
            <w:tcW w:w="0" w:type="auto"/>
          </w:tcPr>
          <w:p w14:paraId="75D87078" w14:textId="77777777" w:rsidR="004D1808" w:rsidRDefault="00000000">
            <w:pPr>
              <w:pStyle w:val="MDPI42tablebody"/>
            </w:pPr>
            <w:r>
              <w:rPr>
                <w:sz w:val="16"/>
              </w:rPr>
              <w:t>Confidence interval</w:t>
            </w:r>
          </w:p>
        </w:tc>
      </w:tr>
      <w:tr w:rsidR="004D1808" w14:paraId="185D2CB8" w14:textId="77777777" w:rsidTr="00261819">
        <w:trPr>
          <w:cantSplit/>
        </w:trPr>
        <w:tc>
          <w:tcPr>
            <w:tcW w:w="0" w:type="auto"/>
          </w:tcPr>
          <w:p w14:paraId="6D6EA3F6" w14:textId="77777777" w:rsidR="004D1808" w:rsidRDefault="00000000" w:rsidP="00261819">
            <w:pPr>
              <w:pStyle w:val="MDPI42tablebody"/>
              <w:jc w:val="left"/>
            </w:pPr>
            <w:r>
              <w:rPr>
                <w:sz w:val="16"/>
              </w:rPr>
              <w:t>GRADE</w:t>
            </w:r>
          </w:p>
        </w:tc>
        <w:tc>
          <w:tcPr>
            <w:tcW w:w="0" w:type="auto"/>
          </w:tcPr>
          <w:p w14:paraId="489507E8" w14:textId="77777777" w:rsidR="004D1808" w:rsidRDefault="00000000">
            <w:pPr>
              <w:pStyle w:val="MDPI42tablebody"/>
            </w:pPr>
            <w:r>
              <w:rPr>
                <w:sz w:val="16"/>
              </w:rPr>
              <w:t>Grading of Recommendations Assessment, Development and Evaluation</w:t>
            </w:r>
          </w:p>
        </w:tc>
      </w:tr>
      <w:tr w:rsidR="004D1808" w14:paraId="0EFB4AF1" w14:textId="77777777" w:rsidTr="00261819">
        <w:trPr>
          <w:cantSplit/>
        </w:trPr>
        <w:tc>
          <w:tcPr>
            <w:tcW w:w="0" w:type="auto"/>
          </w:tcPr>
          <w:p w14:paraId="498955BA" w14:textId="77777777" w:rsidR="004D1808" w:rsidRDefault="00000000" w:rsidP="00261819">
            <w:pPr>
              <w:pStyle w:val="MDPI42tablebody"/>
              <w:jc w:val="left"/>
            </w:pPr>
            <w:r>
              <w:rPr>
                <w:sz w:val="16"/>
              </w:rPr>
              <w:t>NAP</w:t>
            </w:r>
          </w:p>
        </w:tc>
        <w:tc>
          <w:tcPr>
            <w:tcW w:w="0" w:type="auto"/>
          </w:tcPr>
          <w:p w14:paraId="34AA93F7" w14:textId="77777777" w:rsidR="004D1808" w:rsidRDefault="00000000">
            <w:pPr>
              <w:pStyle w:val="MDPI42tablebody"/>
            </w:pPr>
            <w:r>
              <w:rPr>
                <w:sz w:val="16"/>
              </w:rPr>
              <w:t>Nonoverlap of all pairs</w:t>
            </w:r>
          </w:p>
        </w:tc>
      </w:tr>
      <w:tr w:rsidR="004D1808" w14:paraId="635443AF" w14:textId="77777777" w:rsidTr="00261819">
        <w:trPr>
          <w:cantSplit/>
        </w:trPr>
        <w:tc>
          <w:tcPr>
            <w:tcW w:w="0" w:type="auto"/>
          </w:tcPr>
          <w:p w14:paraId="5976BBB8" w14:textId="77777777" w:rsidR="004D1808" w:rsidRDefault="00000000" w:rsidP="00261819">
            <w:pPr>
              <w:pStyle w:val="MDPI42tablebody"/>
              <w:jc w:val="left"/>
            </w:pPr>
            <w:r>
              <w:rPr>
                <w:sz w:val="16"/>
              </w:rPr>
              <w:t>OBR</w:t>
            </w:r>
          </w:p>
        </w:tc>
        <w:tc>
          <w:tcPr>
            <w:tcW w:w="0" w:type="auto"/>
          </w:tcPr>
          <w:p w14:paraId="3B0C5637" w14:textId="77777777" w:rsidR="004D1808" w:rsidRDefault="00000000">
            <w:pPr>
              <w:pStyle w:val="MDPI42tablebody"/>
            </w:pPr>
            <w:r>
              <w:rPr>
                <w:sz w:val="16"/>
              </w:rPr>
              <w:t>Optical Braille recognition</w:t>
            </w:r>
          </w:p>
        </w:tc>
      </w:tr>
      <w:tr w:rsidR="004D1808" w14:paraId="1FD127A2" w14:textId="77777777" w:rsidTr="00261819">
        <w:trPr>
          <w:cantSplit/>
        </w:trPr>
        <w:tc>
          <w:tcPr>
            <w:tcW w:w="0" w:type="auto"/>
          </w:tcPr>
          <w:p w14:paraId="32B58A42" w14:textId="77777777" w:rsidR="004D1808" w:rsidRDefault="00000000" w:rsidP="00261819">
            <w:pPr>
              <w:pStyle w:val="MDPI42tablebody"/>
              <w:jc w:val="left"/>
            </w:pPr>
            <w:r>
              <w:rPr>
                <w:sz w:val="16"/>
              </w:rPr>
              <w:t>PEM</w:t>
            </w:r>
          </w:p>
        </w:tc>
        <w:tc>
          <w:tcPr>
            <w:tcW w:w="0" w:type="auto"/>
          </w:tcPr>
          <w:p w14:paraId="7985DF37" w14:textId="77777777" w:rsidR="004D1808" w:rsidRDefault="00000000">
            <w:pPr>
              <w:pStyle w:val="MDPI42tablebody"/>
            </w:pPr>
            <w:r>
              <w:rPr>
                <w:sz w:val="16"/>
              </w:rPr>
              <w:t>Percentage exceeding the median</w:t>
            </w:r>
          </w:p>
        </w:tc>
      </w:tr>
      <w:tr w:rsidR="004D1808" w14:paraId="55D33828" w14:textId="77777777" w:rsidTr="00261819">
        <w:trPr>
          <w:cantSplit/>
        </w:trPr>
        <w:tc>
          <w:tcPr>
            <w:tcW w:w="0" w:type="auto"/>
          </w:tcPr>
          <w:p w14:paraId="35EA45FF" w14:textId="77777777" w:rsidR="004D1808" w:rsidRDefault="00000000" w:rsidP="00261819">
            <w:pPr>
              <w:pStyle w:val="MDPI42tablebody"/>
              <w:jc w:val="left"/>
            </w:pPr>
            <w:r>
              <w:rPr>
                <w:sz w:val="16"/>
              </w:rPr>
              <w:t>PICO</w:t>
            </w:r>
          </w:p>
        </w:tc>
        <w:tc>
          <w:tcPr>
            <w:tcW w:w="0" w:type="auto"/>
          </w:tcPr>
          <w:p w14:paraId="778C20CC" w14:textId="77777777" w:rsidR="004D1808" w:rsidRDefault="00000000">
            <w:pPr>
              <w:pStyle w:val="MDPI42tablebody"/>
            </w:pPr>
            <w:r>
              <w:rPr>
                <w:sz w:val="16"/>
              </w:rPr>
              <w:t>Population, intervention, comparator, and outcome</w:t>
            </w:r>
          </w:p>
        </w:tc>
      </w:tr>
      <w:tr w:rsidR="004D1808" w14:paraId="2A1290DF" w14:textId="77777777" w:rsidTr="00261819">
        <w:trPr>
          <w:cantSplit/>
        </w:trPr>
        <w:tc>
          <w:tcPr>
            <w:tcW w:w="0" w:type="auto"/>
          </w:tcPr>
          <w:p w14:paraId="231E2EB9" w14:textId="77777777" w:rsidR="004D1808" w:rsidRDefault="00000000" w:rsidP="00261819">
            <w:pPr>
              <w:pStyle w:val="MDPI42tablebody"/>
              <w:jc w:val="left"/>
            </w:pPr>
            <w:r>
              <w:rPr>
                <w:sz w:val="16"/>
              </w:rPr>
              <w:t>PRESS</w:t>
            </w:r>
          </w:p>
        </w:tc>
        <w:tc>
          <w:tcPr>
            <w:tcW w:w="0" w:type="auto"/>
          </w:tcPr>
          <w:p w14:paraId="57F34107" w14:textId="77777777" w:rsidR="004D1808" w:rsidRDefault="00000000">
            <w:pPr>
              <w:pStyle w:val="MDPI42tablebody"/>
            </w:pPr>
            <w:r>
              <w:rPr>
                <w:sz w:val="16"/>
              </w:rPr>
              <w:t>Peer Review of Electronic Search Strategies</w:t>
            </w:r>
          </w:p>
        </w:tc>
      </w:tr>
      <w:tr w:rsidR="004D1808" w14:paraId="529CC103" w14:textId="77777777" w:rsidTr="00261819">
        <w:trPr>
          <w:cantSplit/>
        </w:trPr>
        <w:tc>
          <w:tcPr>
            <w:tcW w:w="0" w:type="auto"/>
          </w:tcPr>
          <w:p w14:paraId="254C80FF" w14:textId="77777777" w:rsidR="004D1808" w:rsidRDefault="00000000" w:rsidP="00261819">
            <w:pPr>
              <w:pStyle w:val="MDPI42tablebody"/>
              <w:jc w:val="left"/>
            </w:pPr>
            <w:r>
              <w:rPr>
                <w:sz w:val="16"/>
              </w:rPr>
              <w:t>PRISMA</w:t>
            </w:r>
          </w:p>
        </w:tc>
        <w:tc>
          <w:tcPr>
            <w:tcW w:w="0" w:type="auto"/>
          </w:tcPr>
          <w:p w14:paraId="02FD8324" w14:textId="77777777" w:rsidR="004D1808" w:rsidRDefault="00000000">
            <w:pPr>
              <w:pStyle w:val="MDPI42tablebody"/>
            </w:pPr>
            <w:r>
              <w:rPr>
                <w:sz w:val="16"/>
              </w:rPr>
              <w:t>Preferred Reporting Items for Systematic Reviews and Meta-Analyses</w:t>
            </w:r>
          </w:p>
        </w:tc>
      </w:tr>
      <w:tr w:rsidR="004D1808" w14:paraId="3A5510EA" w14:textId="77777777" w:rsidTr="00261819">
        <w:trPr>
          <w:cantSplit/>
        </w:trPr>
        <w:tc>
          <w:tcPr>
            <w:tcW w:w="0" w:type="auto"/>
          </w:tcPr>
          <w:p w14:paraId="62A56E20" w14:textId="77777777" w:rsidR="004D1808" w:rsidRDefault="00000000" w:rsidP="00261819">
            <w:pPr>
              <w:pStyle w:val="MDPI42tablebody"/>
              <w:jc w:val="left"/>
            </w:pPr>
            <w:r>
              <w:rPr>
                <w:sz w:val="16"/>
              </w:rPr>
              <w:t>RoB 2</w:t>
            </w:r>
          </w:p>
        </w:tc>
        <w:tc>
          <w:tcPr>
            <w:tcW w:w="0" w:type="auto"/>
          </w:tcPr>
          <w:p w14:paraId="7F7EB0E4" w14:textId="77777777" w:rsidR="004D1808" w:rsidRDefault="00000000">
            <w:pPr>
              <w:pStyle w:val="MDPI42tablebody"/>
            </w:pPr>
            <w:r>
              <w:rPr>
                <w:sz w:val="16"/>
              </w:rPr>
              <w:t>Cochrane risk-of-bias tool for randomised trials, version 2</w:t>
            </w:r>
          </w:p>
        </w:tc>
      </w:tr>
      <w:tr w:rsidR="004D1808" w14:paraId="614EB788" w14:textId="77777777" w:rsidTr="00261819">
        <w:trPr>
          <w:cantSplit/>
        </w:trPr>
        <w:tc>
          <w:tcPr>
            <w:tcW w:w="0" w:type="auto"/>
          </w:tcPr>
          <w:p w14:paraId="6C76C509" w14:textId="77777777" w:rsidR="004D1808" w:rsidRDefault="00000000" w:rsidP="00261819">
            <w:pPr>
              <w:pStyle w:val="MDPI42tablebody"/>
              <w:jc w:val="left"/>
            </w:pPr>
            <w:r>
              <w:rPr>
                <w:sz w:val="16"/>
              </w:rPr>
              <w:t>ROBINS-I</w:t>
            </w:r>
          </w:p>
        </w:tc>
        <w:tc>
          <w:tcPr>
            <w:tcW w:w="0" w:type="auto"/>
          </w:tcPr>
          <w:p w14:paraId="2371D6EB" w14:textId="77777777" w:rsidR="004D1808" w:rsidRDefault="00000000">
            <w:pPr>
              <w:pStyle w:val="MDPI42tablebody"/>
            </w:pPr>
            <w:r>
              <w:rPr>
                <w:sz w:val="16"/>
              </w:rPr>
              <w:t xml:space="preserve">Risk Of Bias </w:t>
            </w:r>
            <w:proofErr w:type="gramStart"/>
            <w:r>
              <w:rPr>
                <w:sz w:val="16"/>
              </w:rPr>
              <w:t>In</w:t>
            </w:r>
            <w:proofErr w:type="gramEnd"/>
            <w:r>
              <w:rPr>
                <w:sz w:val="16"/>
              </w:rPr>
              <w:t xml:space="preserve"> Non-randomised Studies—of Interventions</w:t>
            </w:r>
          </w:p>
        </w:tc>
      </w:tr>
      <w:tr w:rsidR="004D1808" w14:paraId="0DE87796" w14:textId="77777777" w:rsidTr="00261819">
        <w:trPr>
          <w:cantSplit/>
        </w:trPr>
        <w:tc>
          <w:tcPr>
            <w:tcW w:w="0" w:type="auto"/>
          </w:tcPr>
          <w:p w14:paraId="23E3C528" w14:textId="77777777" w:rsidR="004D1808" w:rsidRDefault="00000000" w:rsidP="00261819">
            <w:pPr>
              <w:pStyle w:val="MDPI42tablebody"/>
              <w:jc w:val="left"/>
            </w:pPr>
            <w:r>
              <w:rPr>
                <w:sz w:val="16"/>
              </w:rPr>
              <w:t>SCED</w:t>
            </w:r>
          </w:p>
        </w:tc>
        <w:tc>
          <w:tcPr>
            <w:tcW w:w="0" w:type="auto"/>
          </w:tcPr>
          <w:p w14:paraId="740F66D2" w14:textId="77777777" w:rsidR="004D1808" w:rsidRDefault="00000000">
            <w:pPr>
              <w:pStyle w:val="MDPI42tablebody"/>
            </w:pPr>
            <w:r>
              <w:rPr>
                <w:sz w:val="16"/>
              </w:rPr>
              <w:t>Single-case experimental design</w:t>
            </w:r>
          </w:p>
        </w:tc>
      </w:tr>
      <w:tr w:rsidR="004D1808" w14:paraId="7651F3B5" w14:textId="77777777" w:rsidTr="00261819">
        <w:trPr>
          <w:cantSplit/>
        </w:trPr>
        <w:tc>
          <w:tcPr>
            <w:tcW w:w="0" w:type="auto"/>
          </w:tcPr>
          <w:p w14:paraId="2A405B2F" w14:textId="77777777" w:rsidR="004D1808" w:rsidRDefault="00000000" w:rsidP="00261819">
            <w:pPr>
              <w:pStyle w:val="MDPI42tablebody"/>
              <w:jc w:val="left"/>
            </w:pPr>
            <w:r>
              <w:rPr>
                <w:sz w:val="16"/>
              </w:rPr>
              <w:t>STT</w:t>
            </w:r>
          </w:p>
        </w:tc>
        <w:tc>
          <w:tcPr>
            <w:tcW w:w="0" w:type="auto"/>
          </w:tcPr>
          <w:p w14:paraId="01F6DB91" w14:textId="77777777" w:rsidR="004D1808" w:rsidRDefault="00000000">
            <w:pPr>
              <w:pStyle w:val="MDPI42tablebody"/>
            </w:pPr>
            <w:r>
              <w:rPr>
                <w:sz w:val="16"/>
              </w:rPr>
              <w:t>Speech-to-text</w:t>
            </w:r>
          </w:p>
        </w:tc>
      </w:tr>
      <w:tr w:rsidR="004D1808" w14:paraId="129883FC" w14:textId="77777777" w:rsidTr="00261819">
        <w:trPr>
          <w:cantSplit/>
        </w:trPr>
        <w:tc>
          <w:tcPr>
            <w:tcW w:w="0" w:type="auto"/>
          </w:tcPr>
          <w:p w14:paraId="40FF6323" w14:textId="77777777" w:rsidR="004D1808" w:rsidRDefault="00000000" w:rsidP="00261819">
            <w:pPr>
              <w:pStyle w:val="MDPI42tablebody"/>
              <w:jc w:val="left"/>
            </w:pPr>
            <w:r>
              <w:rPr>
                <w:sz w:val="16"/>
              </w:rPr>
              <w:t>SWiM</w:t>
            </w:r>
          </w:p>
        </w:tc>
        <w:tc>
          <w:tcPr>
            <w:tcW w:w="0" w:type="auto"/>
          </w:tcPr>
          <w:p w14:paraId="208B145A" w14:textId="77777777" w:rsidR="004D1808" w:rsidRDefault="00000000">
            <w:pPr>
              <w:pStyle w:val="MDPI42tablebody"/>
            </w:pPr>
            <w:r>
              <w:rPr>
                <w:sz w:val="16"/>
              </w:rPr>
              <w:t>Synthesis Without Meta-analysis</w:t>
            </w:r>
          </w:p>
        </w:tc>
      </w:tr>
      <w:tr w:rsidR="004D1808" w14:paraId="5613FB3E" w14:textId="77777777" w:rsidTr="00261819">
        <w:trPr>
          <w:cantSplit/>
        </w:trPr>
        <w:tc>
          <w:tcPr>
            <w:tcW w:w="0" w:type="auto"/>
          </w:tcPr>
          <w:p w14:paraId="000C125F" w14:textId="77777777" w:rsidR="004D1808" w:rsidRDefault="00000000" w:rsidP="00261819">
            <w:pPr>
              <w:pStyle w:val="MDPI42tablebody"/>
              <w:jc w:val="left"/>
            </w:pPr>
            <w:r>
              <w:rPr>
                <w:sz w:val="16"/>
              </w:rPr>
              <w:t>TTS</w:t>
            </w:r>
          </w:p>
        </w:tc>
        <w:tc>
          <w:tcPr>
            <w:tcW w:w="0" w:type="auto"/>
          </w:tcPr>
          <w:p w14:paraId="6A298659" w14:textId="77777777" w:rsidR="004D1808" w:rsidRDefault="00000000">
            <w:pPr>
              <w:pStyle w:val="MDPI42tablebody"/>
            </w:pPr>
            <w:r>
              <w:rPr>
                <w:sz w:val="16"/>
              </w:rPr>
              <w:t>Text-to-speech</w:t>
            </w:r>
          </w:p>
        </w:tc>
      </w:tr>
      <w:tr w:rsidR="004D1808" w14:paraId="1E1FC93C" w14:textId="77777777" w:rsidTr="00261819">
        <w:trPr>
          <w:cantSplit/>
        </w:trPr>
        <w:tc>
          <w:tcPr>
            <w:tcW w:w="0" w:type="auto"/>
          </w:tcPr>
          <w:p w14:paraId="579A6B1D" w14:textId="77777777" w:rsidR="004D1808" w:rsidRDefault="00000000" w:rsidP="00261819">
            <w:pPr>
              <w:pStyle w:val="MDPI42tablebody"/>
              <w:jc w:val="left"/>
            </w:pPr>
            <w:r>
              <w:rPr>
                <w:sz w:val="16"/>
              </w:rPr>
              <w:t>WWC</w:t>
            </w:r>
          </w:p>
        </w:tc>
        <w:tc>
          <w:tcPr>
            <w:tcW w:w="0" w:type="auto"/>
          </w:tcPr>
          <w:p w14:paraId="5A0C1F76" w14:textId="77777777" w:rsidR="004D1808" w:rsidRDefault="00000000">
            <w:pPr>
              <w:pStyle w:val="MDPI42tablebody"/>
            </w:pPr>
            <w:r>
              <w:rPr>
                <w:sz w:val="16"/>
              </w:rPr>
              <w:t>What Works Clearinghouse</w:t>
            </w:r>
          </w:p>
        </w:tc>
      </w:tr>
    </w:tbl>
    <w:bookmarkEnd w:id="0"/>
    <w:p w14:paraId="4477D4B2" w14:textId="77777777" w:rsidR="00247DDB" w:rsidRPr="000D7AD8" w:rsidRDefault="00247DDB" w:rsidP="00CA5C88">
      <w:pPr>
        <w:pStyle w:val="MDPI21heading1"/>
        <w:ind w:left="0"/>
      </w:pPr>
      <w:r w:rsidRPr="000D7AD8">
        <w:t>References</w:t>
      </w:r>
    </w:p>
    <w:p w14:paraId="44277898"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1. United Nations. Convention on the Rights of Persons with Disabilities; United Nations: New York, NY, USA, 2006. Available online: https://www.un.org/development/desa/disabilities/convention-on-the-rights-of-persons-with-disabilities.html (accessed on 25 July 2026).</w:t>
      </w:r>
    </w:p>
    <w:p w14:paraId="394A4772"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2. World Health Organization; United Nations Children’s Fund. Global Report on Assistive Technology; World Health Organization: Geneva, Switzerland, 2022. Available online: https://www.who.int/publications/i/item/9789240049451 (accessed on 25 July 2026).</w:t>
      </w:r>
    </w:p>
    <w:p w14:paraId="71A3AD4A"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3. Federici, S.; </w:t>
      </w:r>
      <w:proofErr w:type="spellStart"/>
      <w:r w:rsidRPr="00CF519D">
        <w:rPr>
          <w:sz w:val="20"/>
          <w:szCs w:val="22"/>
        </w:rPr>
        <w:t>Borsci</w:t>
      </w:r>
      <w:proofErr w:type="spellEnd"/>
      <w:r w:rsidRPr="00CF519D">
        <w:rPr>
          <w:sz w:val="20"/>
          <w:szCs w:val="22"/>
        </w:rPr>
        <w:t xml:space="preserve">, S. Providing assistive technology in Italy: The perceived delivery process quality as affecting abandonment. Disabil. </w:t>
      </w:r>
      <w:proofErr w:type="spellStart"/>
      <w:r w:rsidRPr="00CF519D">
        <w:rPr>
          <w:sz w:val="20"/>
          <w:szCs w:val="22"/>
        </w:rPr>
        <w:t>Rehabil</w:t>
      </w:r>
      <w:proofErr w:type="spellEnd"/>
      <w:r w:rsidRPr="00CF519D">
        <w:rPr>
          <w:sz w:val="20"/>
          <w:szCs w:val="22"/>
        </w:rPr>
        <w:t>. Assist. Technol. 2016, 11, 22–31. https://doi.org/10.3109/17483107.2014.930191.</w:t>
      </w:r>
    </w:p>
    <w:p w14:paraId="2F3BD7A9" w14:textId="77777777" w:rsidR="00CF519D" w:rsidRPr="00CF519D" w:rsidRDefault="00CF519D" w:rsidP="00CF519D">
      <w:pPr>
        <w:pStyle w:val="MDPI81references"/>
        <w:numPr>
          <w:ilvl w:val="0"/>
          <w:numId w:val="0"/>
        </w:numPr>
        <w:ind w:left="425" w:hanging="425"/>
        <w:rPr>
          <w:sz w:val="20"/>
          <w:szCs w:val="22"/>
        </w:rPr>
      </w:pPr>
      <w:r>
        <w:t>4. Council on School Health. Role of the school nurse in providing school health services. Pediatrics 2016, 137, e20160852. https://doi.org/10.1542/peds.2016-0852.</w:t>
      </w:r>
    </w:p>
    <w:p w14:paraId="25CD37E7"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5. Matre, M.E.; Cameron, D.L. A scoping review on the use of speech-to-text technology for adolescents with learning difficulties in secondary education. Disabil. </w:t>
      </w:r>
      <w:proofErr w:type="spellStart"/>
      <w:r w:rsidRPr="00CF519D">
        <w:rPr>
          <w:sz w:val="20"/>
          <w:szCs w:val="22"/>
        </w:rPr>
        <w:t>Rehabil</w:t>
      </w:r>
      <w:proofErr w:type="spellEnd"/>
      <w:r w:rsidRPr="00CF519D">
        <w:rPr>
          <w:sz w:val="20"/>
          <w:szCs w:val="22"/>
        </w:rPr>
        <w:t>. Assist. Technol. 2024, 19, 1103–1116. https://doi.org/10.1080/17483107.2022.2149865.</w:t>
      </w:r>
    </w:p>
    <w:p w14:paraId="4CE653A9"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6. Wood, S.G.; Moxley, J.H.; Tighe, E.L.; Wagner, R.K. Does use of text-to-speech and related read-aloud tools improve reading comprehension for students with reading disabilities? A meta-analysis. J. Learn. Disabil. 2018, 51, 73–84. https://doi.org/10.1177/0022219416688170.</w:t>
      </w:r>
    </w:p>
    <w:p w14:paraId="3B2463D2"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7. </w:t>
      </w:r>
      <w:proofErr w:type="spellStart"/>
      <w:r w:rsidRPr="00CF519D">
        <w:rPr>
          <w:sz w:val="20"/>
          <w:szCs w:val="22"/>
        </w:rPr>
        <w:t>Kushalnagar</w:t>
      </w:r>
      <w:proofErr w:type="spellEnd"/>
      <w:r w:rsidRPr="00CF519D">
        <w:rPr>
          <w:sz w:val="20"/>
          <w:szCs w:val="22"/>
        </w:rPr>
        <w:t xml:space="preserve">, R.S.; Lasecki, W.S.; Bigham, J.P. Accessibility evaluation of classroom captions. ACM Trans. Access. </w:t>
      </w:r>
      <w:proofErr w:type="spellStart"/>
      <w:r w:rsidRPr="00CF519D">
        <w:rPr>
          <w:sz w:val="20"/>
          <w:szCs w:val="22"/>
        </w:rPr>
        <w:t>Comput</w:t>
      </w:r>
      <w:proofErr w:type="spellEnd"/>
      <w:r w:rsidRPr="00CF519D">
        <w:rPr>
          <w:sz w:val="20"/>
          <w:szCs w:val="22"/>
        </w:rPr>
        <w:t>. 2014, 5, 7:1–7:24. https://doi.org/10.1145/2543578.</w:t>
      </w:r>
    </w:p>
    <w:p w14:paraId="7E163891"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8. Latif, G.; Ben Brahim, G.; Abdelhamid, S.E.; </w:t>
      </w:r>
      <w:proofErr w:type="spellStart"/>
      <w:r w:rsidRPr="00CF519D">
        <w:rPr>
          <w:sz w:val="20"/>
          <w:szCs w:val="22"/>
        </w:rPr>
        <w:t>Alghazo</w:t>
      </w:r>
      <w:proofErr w:type="spellEnd"/>
      <w:r w:rsidRPr="00CF519D">
        <w:rPr>
          <w:sz w:val="20"/>
          <w:szCs w:val="22"/>
        </w:rPr>
        <w:t xml:space="preserve">, R.; </w:t>
      </w:r>
      <w:proofErr w:type="spellStart"/>
      <w:r w:rsidRPr="00CF519D">
        <w:rPr>
          <w:sz w:val="20"/>
          <w:szCs w:val="22"/>
        </w:rPr>
        <w:t>Alhabib</w:t>
      </w:r>
      <w:proofErr w:type="spellEnd"/>
      <w:r w:rsidRPr="00CF519D">
        <w:rPr>
          <w:sz w:val="20"/>
          <w:szCs w:val="22"/>
        </w:rPr>
        <w:t xml:space="preserve">, G.; </w:t>
      </w:r>
      <w:proofErr w:type="spellStart"/>
      <w:r w:rsidRPr="00CF519D">
        <w:rPr>
          <w:sz w:val="20"/>
          <w:szCs w:val="22"/>
        </w:rPr>
        <w:t>Alnujaidi</w:t>
      </w:r>
      <w:proofErr w:type="spellEnd"/>
      <w:r w:rsidRPr="00CF519D">
        <w:rPr>
          <w:sz w:val="20"/>
          <w:szCs w:val="22"/>
        </w:rPr>
        <w:t>, K. Learning at your fingertips: An innovative IoT-based AI-powered Braille learning system. Appl. Syst. Innov. 2023, 6, 91. https://doi.org/10.3390/asi6050091.</w:t>
      </w:r>
    </w:p>
    <w:p w14:paraId="3585053E"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9. Kausar, T.; Manzoor, S.; Kausar, A.; Lu, Y.; Wasif, M.; Ashraf, M.A. Deep learning strategy for Braille character recognition. IEEE Access 2021, 9, 169357–169371. https://doi.org/10.1109/ACCESS.2021.3138240.</w:t>
      </w:r>
    </w:p>
    <w:p w14:paraId="4B26EB06"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10. Asfaw, N.A.; Belay, B.H.; Alemu, K.M. A deep learning approach for line-level Amharic Braille image recognition. Sci. Rep. 2024, 14, 24172. https://doi.org/10.1038/s41598-024-73895-7.</w:t>
      </w:r>
    </w:p>
    <w:p w14:paraId="2F13144E"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11. Lenker, J.A.; Paquet, V.L. A review of conceptual models for assistive </w:t>
      </w:r>
      <w:proofErr w:type="gramStart"/>
      <w:r w:rsidRPr="00CF519D">
        <w:rPr>
          <w:sz w:val="20"/>
          <w:szCs w:val="22"/>
        </w:rPr>
        <w:t>technology outcomes</w:t>
      </w:r>
      <w:proofErr w:type="gramEnd"/>
      <w:r w:rsidRPr="00CF519D">
        <w:rPr>
          <w:sz w:val="20"/>
          <w:szCs w:val="22"/>
        </w:rPr>
        <w:t xml:space="preserve"> research and practice. Assist. Technol. 2003, 15, 1–15. https://doi.org/10.1080/10400435.2003.10131885.</w:t>
      </w:r>
    </w:p>
    <w:p w14:paraId="09FEC6FC"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lastRenderedPageBreak/>
        <w:t xml:space="preserve">12. Hoskin, E.R.; Coyne, M.K.; White, M.J.; Dobri, S.C.D.; Davies, T.C.; Pinder, S.D. Effectiveness of technology for Braille literacy education for children: A systematic review. Disabil. </w:t>
      </w:r>
      <w:proofErr w:type="spellStart"/>
      <w:r w:rsidRPr="00CF519D">
        <w:rPr>
          <w:sz w:val="20"/>
          <w:szCs w:val="22"/>
        </w:rPr>
        <w:t>Rehabil</w:t>
      </w:r>
      <w:proofErr w:type="spellEnd"/>
      <w:r w:rsidRPr="00CF519D">
        <w:rPr>
          <w:sz w:val="20"/>
          <w:szCs w:val="22"/>
        </w:rPr>
        <w:t>. Assist. Technol. 2024, 19, 120–130. https://doi.org/10.1080/17483107.2022.2070676.</w:t>
      </w:r>
    </w:p>
    <w:p w14:paraId="0E247270"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13. Nordström, T.; Nilsson, S.; Gustafson, S.; Svensson, I. Assistive technology applications for students with reading difficulties: Special education teachers’ experiences and perceptions. Disabil. </w:t>
      </w:r>
      <w:proofErr w:type="spellStart"/>
      <w:r w:rsidRPr="00CF519D">
        <w:rPr>
          <w:sz w:val="20"/>
          <w:szCs w:val="22"/>
        </w:rPr>
        <w:t>Rehabil</w:t>
      </w:r>
      <w:proofErr w:type="spellEnd"/>
      <w:r w:rsidRPr="00CF519D">
        <w:rPr>
          <w:sz w:val="20"/>
          <w:szCs w:val="22"/>
        </w:rPr>
        <w:t>. Assist. Technol. 2019, 14, 798–808. https://doi.org/10.1080/17483107.2018.1499142.</w:t>
      </w:r>
    </w:p>
    <w:p w14:paraId="2746F1B4"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14. Pavani, F.; Leonetti, V. On the coexistence of captions and sign language as accessibility solutions in educational settings. </w:t>
      </w:r>
      <w:proofErr w:type="spellStart"/>
      <w:r w:rsidRPr="00CF519D">
        <w:rPr>
          <w:sz w:val="20"/>
          <w:szCs w:val="22"/>
        </w:rPr>
        <w:t>Audiol</w:t>
      </w:r>
      <w:proofErr w:type="spellEnd"/>
      <w:r w:rsidRPr="00CF519D">
        <w:rPr>
          <w:sz w:val="20"/>
          <w:szCs w:val="22"/>
        </w:rPr>
        <w:t>. Res. 2026, 16, 20. https://doi.org/10.3390/audiolres16010020.</w:t>
      </w:r>
    </w:p>
    <w:p w14:paraId="67B35703" w14:textId="77777777" w:rsidR="00CF519D" w:rsidRPr="00CF519D" w:rsidRDefault="00CF519D" w:rsidP="00CF519D">
      <w:pPr>
        <w:pStyle w:val="MDPI81references"/>
        <w:numPr>
          <w:ilvl w:val="0"/>
          <w:numId w:val="0"/>
        </w:numPr>
        <w:ind w:left="425" w:hanging="425"/>
        <w:rPr>
          <w:sz w:val="20"/>
          <w:szCs w:val="22"/>
        </w:rPr>
      </w:pPr>
      <w:r>
        <w:t>15. Millett, P. Accuracy of speech-to-text captioning for students who are deaf or hard of hearing. J. Educ. Pediatr. (Re)habil. Audiol. 2021–2022, 25, 1–13.</w:t>
      </w:r>
    </w:p>
    <w:p w14:paraId="661DF903"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16. Page, M.J.; McKenzie, J.E.; Bossuyt, P.M.; </w:t>
      </w:r>
      <w:proofErr w:type="spellStart"/>
      <w:r w:rsidRPr="00CF519D">
        <w:rPr>
          <w:sz w:val="20"/>
          <w:szCs w:val="22"/>
        </w:rPr>
        <w:t>Boutron</w:t>
      </w:r>
      <w:proofErr w:type="spellEnd"/>
      <w:r w:rsidRPr="00CF519D">
        <w:rPr>
          <w:sz w:val="20"/>
          <w:szCs w:val="22"/>
        </w:rPr>
        <w:t xml:space="preserve">, I.; Hoffmann, T.C.; Mulrow, C.D.; </w:t>
      </w:r>
      <w:proofErr w:type="spellStart"/>
      <w:r w:rsidRPr="00CF519D">
        <w:rPr>
          <w:sz w:val="20"/>
          <w:szCs w:val="22"/>
        </w:rPr>
        <w:t>Shamseer</w:t>
      </w:r>
      <w:proofErr w:type="spellEnd"/>
      <w:r w:rsidRPr="00CF519D">
        <w:rPr>
          <w:sz w:val="20"/>
          <w:szCs w:val="22"/>
        </w:rPr>
        <w:t>, L.; Tetzlaff, J.M.; Akl, E.A.; Brennan, S.E.; et al. The PRISMA 2020 statement: An updated guideline for reporting systematic reviews. BMJ 2021, 372, n71. https://doi.org/10.1136/bmj.n71.</w:t>
      </w:r>
    </w:p>
    <w:p w14:paraId="26E6C9A6"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17. </w:t>
      </w:r>
      <w:proofErr w:type="spellStart"/>
      <w:r w:rsidRPr="00CF519D">
        <w:rPr>
          <w:sz w:val="20"/>
          <w:szCs w:val="22"/>
        </w:rPr>
        <w:t>Rethlefsen</w:t>
      </w:r>
      <w:proofErr w:type="spellEnd"/>
      <w:r w:rsidRPr="00CF519D">
        <w:rPr>
          <w:sz w:val="20"/>
          <w:szCs w:val="22"/>
        </w:rPr>
        <w:t>, M.L.; Kirtley, S.; Waffenschmidt, S.; Ayala, A.P.; Moher, D.; Page, M.J.; Koffel, J.B.; PRISMA-S Group. PRISMA-S: An extension to the PRISMA statement for reporting literature searches in systematic reviews. Syst. Rev. 2021, 10, 39. https://doi.org/10.1186/s13643-020-01542-z.</w:t>
      </w:r>
    </w:p>
    <w:p w14:paraId="7ED2ABCF"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18. Campbell, M.; McKenzie, J.E.; Sowden, A.; </w:t>
      </w:r>
      <w:proofErr w:type="spellStart"/>
      <w:r w:rsidRPr="00CF519D">
        <w:rPr>
          <w:sz w:val="20"/>
          <w:szCs w:val="22"/>
        </w:rPr>
        <w:t>Katikireddi</w:t>
      </w:r>
      <w:proofErr w:type="spellEnd"/>
      <w:r w:rsidRPr="00CF519D">
        <w:rPr>
          <w:sz w:val="20"/>
          <w:szCs w:val="22"/>
        </w:rPr>
        <w:t>, S.V.; Brennan, S.E.; Ellis, S.; Hartmann-Boyce, J.; Ryan, R.; Shepperd, S.; Thomas, J.; et al. Synthesis without meta-analysis (</w:t>
      </w:r>
      <w:proofErr w:type="spellStart"/>
      <w:r w:rsidRPr="00CF519D">
        <w:rPr>
          <w:sz w:val="20"/>
          <w:szCs w:val="22"/>
        </w:rPr>
        <w:t>SWiM</w:t>
      </w:r>
      <w:proofErr w:type="spellEnd"/>
      <w:r w:rsidRPr="00CF519D">
        <w:rPr>
          <w:sz w:val="20"/>
          <w:szCs w:val="22"/>
        </w:rPr>
        <w:t xml:space="preserve">) in systematic reviews: Reporting </w:t>
      </w:r>
      <w:proofErr w:type="gramStart"/>
      <w:r w:rsidRPr="00CF519D">
        <w:rPr>
          <w:sz w:val="20"/>
          <w:szCs w:val="22"/>
        </w:rPr>
        <w:t>guideline</w:t>
      </w:r>
      <w:proofErr w:type="gramEnd"/>
      <w:r w:rsidRPr="00CF519D">
        <w:rPr>
          <w:sz w:val="20"/>
          <w:szCs w:val="22"/>
        </w:rPr>
        <w:t>. BMJ 2020, 368, l6890. https://doi.org/10.1136/bmj.l6890.</w:t>
      </w:r>
    </w:p>
    <w:p w14:paraId="7316217A"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19. Sterne, J.A.C.; Savović, J.; Page, M.J.; Elbers, R.G.; Blencowe, N.S.; </w:t>
      </w:r>
      <w:proofErr w:type="spellStart"/>
      <w:r w:rsidRPr="00CF519D">
        <w:rPr>
          <w:sz w:val="20"/>
          <w:szCs w:val="22"/>
        </w:rPr>
        <w:t>Boutron</w:t>
      </w:r>
      <w:proofErr w:type="spellEnd"/>
      <w:r w:rsidRPr="00CF519D">
        <w:rPr>
          <w:sz w:val="20"/>
          <w:szCs w:val="22"/>
        </w:rPr>
        <w:t xml:space="preserve">, I.; Cates, C.J.; Cheng, H.-Y.; Corbett, M.S.; Eldridge, S.M.; et al. </w:t>
      </w:r>
      <w:proofErr w:type="spellStart"/>
      <w:r w:rsidRPr="00CF519D">
        <w:rPr>
          <w:sz w:val="20"/>
          <w:szCs w:val="22"/>
        </w:rPr>
        <w:t>RoB</w:t>
      </w:r>
      <w:proofErr w:type="spellEnd"/>
      <w:r w:rsidRPr="00CF519D">
        <w:rPr>
          <w:sz w:val="20"/>
          <w:szCs w:val="22"/>
        </w:rPr>
        <w:t xml:space="preserve"> 2: A revised tool for assessing risk of bias in randomised trials. BMJ 2019, 366, l4898. https://doi.org/10.1136/bmj.l4898.</w:t>
      </w:r>
    </w:p>
    <w:p w14:paraId="330F3A22"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20. Sterne, J.A.C.; Hernán, M.A.; Reeves, B.C.; Savović, J.; Berkman, N.D.; Viswanathan, M.; Henry, D.; Altman, D.G.; Ansari, M.T.; </w:t>
      </w:r>
      <w:proofErr w:type="spellStart"/>
      <w:r w:rsidRPr="00CF519D">
        <w:rPr>
          <w:sz w:val="20"/>
          <w:szCs w:val="22"/>
        </w:rPr>
        <w:t>Boutron</w:t>
      </w:r>
      <w:proofErr w:type="spellEnd"/>
      <w:r w:rsidRPr="00CF519D">
        <w:rPr>
          <w:sz w:val="20"/>
          <w:szCs w:val="22"/>
        </w:rPr>
        <w:t>, I.; et al. ROBINS-I: A tool for assessing risk of bias in non-randomised studies of interventions. BMJ 2016, 355, i4919. https://doi.org/10.1136/bmj.i4919.</w:t>
      </w:r>
    </w:p>
    <w:p w14:paraId="6A360B15"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21. What Works Clearinghouse. What Works Clearinghouse Procedures and Standards Handbook, Version 5.0; Institute of Education Sciences, U.S. Department of Education: Washington, DC, USA, 2022; revised December 2022. Available online: https://ies.ed.gov/ncee/wwc/Handbooks (accessed on 25 July 2026).</w:t>
      </w:r>
    </w:p>
    <w:p w14:paraId="36541193"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22. Guyatt, G.H.; Oxman, A.D.; </w:t>
      </w:r>
      <w:proofErr w:type="spellStart"/>
      <w:r w:rsidRPr="00CF519D">
        <w:rPr>
          <w:sz w:val="20"/>
          <w:szCs w:val="22"/>
        </w:rPr>
        <w:t>Vist</w:t>
      </w:r>
      <w:proofErr w:type="spellEnd"/>
      <w:r w:rsidRPr="00CF519D">
        <w:rPr>
          <w:sz w:val="20"/>
          <w:szCs w:val="22"/>
        </w:rPr>
        <w:t>, G.E.; Kunz, R.; Falck-</w:t>
      </w:r>
      <w:proofErr w:type="spellStart"/>
      <w:r w:rsidRPr="00CF519D">
        <w:rPr>
          <w:sz w:val="20"/>
          <w:szCs w:val="22"/>
        </w:rPr>
        <w:t>Ytter</w:t>
      </w:r>
      <w:proofErr w:type="spellEnd"/>
      <w:r w:rsidRPr="00CF519D">
        <w:rPr>
          <w:sz w:val="20"/>
          <w:szCs w:val="22"/>
        </w:rPr>
        <w:t>, Y.; Alonso-Coello, P.; Schünemann, H.J.; GRADE Working Group. GRADE: An emerging consensus on rating quality of evidence and strength of recommendations. BMJ 2008, 336, 924–926. https://doi.org/10.1136/bmj.39489.470347.AD.</w:t>
      </w:r>
    </w:p>
    <w:p w14:paraId="52331249"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23. Raskind, M.H.; Higgins, E.L. Speaking to read: The effects of speech recognition technology on the reading and spelling performance of children with learning disabilities. Ann. Dyslexia 1999, 49, 251–281. https://doi.org/10.1007/s11881-999-0026-9.</w:t>
      </w:r>
    </w:p>
    <w:p w14:paraId="0C516B37" w14:textId="77777777" w:rsidR="00CF519D" w:rsidRPr="00CF519D" w:rsidRDefault="00CF519D" w:rsidP="00CF519D">
      <w:pPr>
        <w:pStyle w:val="MDPI81references"/>
        <w:numPr>
          <w:ilvl w:val="0"/>
          <w:numId w:val="0"/>
        </w:numPr>
        <w:ind w:left="425" w:hanging="425"/>
        <w:rPr>
          <w:sz w:val="20"/>
          <w:szCs w:val="22"/>
        </w:rPr>
      </w:pPr>
      <w:r>
        <w:t>24. Higgins, E.L.; Raskind, M.H. Speaking to read: The effects of continuous vs. discrete speech recognition systems on the reading and spelling of children with learning disabilities. J. Spec. Educ. Technol. 1999, 15, 19–30. https://doi.org/10.1177/016264340001500102.</w:t>
      </w:r>
    </w:p>
    <w:p w14:paraId="2A8AD7A7"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25. MacArthur, C.A.; Cavalier, A.R. Dictation and speech recognition technology as test accommodations. Except. Child. 2004, 71, 43–58. https://doi.org/10.1177/001440290407100103.</w:t>
      </w:r>
    </w:p>
    <w:p w14:paraId="2B7FDDC3" w14:textId="77777777" w:rsidR="00CF519D" w:rsidRPr="00CF519D" w:rsidRDefault="00CF519D" w:rsidP="00CF519D">
      <w:pPr>
        <w:pStyle w:val="MDPI81references"/>
        <w:numPr>
          <w:ilvl w:val="0"/>
          <w:numId w:val="0"/>
        </w:numPr>
        <w:ind w:left="425" w:hanging="425"/>
        <w:rPr>
          <w:sz w:val="20"/>
          <w:szCs w:val="22"/>
        </w:rPr>
      </w:pPr>
      <w:r>
        <w:t>26. Almgren Bäck, G.; Mossige, M.; Bundgaard Svendsen, H.; Rønneberg, V.; Selenius, H.; Berg Gøttsche, N.; Dolmer, G.; Fälth, L.; Nilsson, S.; Svensson, I. Speech-to-text intervention to support text production among students with writing difficulties: A single-case study in Nordic countries. Disabil. Rehabil. Assist. Technol. 2024, 19, 3110–3129. https://doi.org/10.1080/17483107.2024.2351488.</w:t>
      </w:r>
    </w:p>
    <w:p w14:paraId="636B4F3D"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27. </w:t>
      </w:r>
      <w:proofErr w:type="spellStart"/>
      <w:r w:rsidRPr="00CF519D">
        <w:rPr>
          <w:sz w:val="20"/>
          <w:szCs w:val="22"/>
        </w:rPr>
        <w:t>Fälth</w:t>
      </w:r>
      <w:proofErr w:type="spellEnd"/>
      <w:r w:rsidRPr="00CF519D">
        <w:rPr>
          <w:sz w:val="20"/>
          <w:szCs w:val="22"/>
        </w:rPr>
        <w:t xml:space="preserve">, L.; Björklund, T.; </w:t>
      </w:r>
      <w:proofErr w:type="spellStart"/>
      <w:r w:rsidRPr="00CF519D">
        <w:rPr>
          <w:sz w:val="20"/>
          <w:szCs w:val="22"/>
        </w:rPr>
        <w:t>Selenius</w:t>
      </w:r>
      <w:proofErr w:type="spellEnd"/>
      <w:r w:rsidRPr="00CF519D">
        <w:rPr>
          <w:sz w:val="20"/>
          <w:szCs w:val="22"/>
        </w:rPr>
        <w:t>, H. Intervention using speech-to-text technology for text production: A single-subject design study on students with mild intellectual disability. Cogent Educ. 2025, 12, 2590917. https://doi.org/10.1080/2331186X.2025.2590917.</w:t>
      </w:r>
    </w:p>
    <w:p w14:paraId="26CBC95A"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28. Sand, C.; Svensson, I.; Nilsson, S.; </w:t>
      </w:r>
      <w:proofErr w:type="spellStart"/>
      <w:r w:rsidRPr="00CF519D">
        <w:rPr>
          <w:sz w:val="20"/>
          <w:szCs w:val="22"/>
        </w:rPr>
        <w:t>Selenius</w:t>
      </w:r>
      <w:proofErr w:type="spellEnd"/>
      <w:r w:rsidRPr="00CF519D">
        <w:rPr>
          <w:sz w:val="20"/>
          <w:szCs w:val="22"/>
        </w:rPr>
        <w:t xml:space="preserve">, H.; </w:t>
      </w:r>
      <w:proofErr w:type="spellStart"/>
      <w:r w:rsidRPr="00CF519D">
        <w:rPr>
          <w:sz w:val="20"/>
          <w:szCs w:val="22"/>
        </w:rPr>
        <w:t>Fälth</w:t>
      </w:r>
      <w:proofErr w:type="spellEnd"/>
      <w:r w:rsidRPr="00CF519D">
        <w:rPr>
          <w:sz w:val="20"/>
          <w:szCs w:val="22"/>
        </w:rPr>
        <w:t xml:space="preserve">, L. Speech-to-text intervention to support text production for students with intellectual disabilities. Disabil. </w:t>
      </w:r>
      <w:proofErr w:type="spellStart"/>
      <w:r w:rsidRPr="00CF519D">
        <w:rPr>
          <w:sz w:val="20"/>
          <w:szCs w:val="22"/>
        </w:rPr>
        <w:t>Rehabil</w:t>
      </w:r>
      <w:proofErr w:type="spellEnd"/>
      <w:r w:rsidRPr="00CF519D">
        <w:rPr>
          <w:sz w:val="20"/>
          <w:szCs w:val="22"/>
        </w:rPr>
        <w:t>. Assist. Technol. 2025, 20, 408–415. https://doi.org/10.1080/17483107.2024.2381785.</w:t>
      </w:r>
    </w:p>
    <w:p w14:paraId="72F854A3"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29. Bhola, N. Effect of text-to-speech software on academic achievement of students with dyslexia. </w:t>
      </w:r>
      <w:proofErr w:type="spellStart"/>
      <w:r w:rsidRPr="00CF519D">
        <w:rPr>
          <w:sz w:val="20"/>
          <w:szCs w:val="22"/>
        </w:rPr>
        <w:t>Integr</w:t>
      </w:r>
      <w:proofErr w:type="spellEnd"/>
      <w:r w:rsidRPr="00CF519D">
        <w:rPr>
          <w:sz w:val="20"/>
          <w:szCs w:val="22"/>
        </w:rPr>
        <w:t xml:space="preserve">. J. Res. Arts </w:t>
      </w:r>
      <w:proofErr w:type="spellStart"/>
      <w:r w:rsidRPr="00CF519D">
        <w:rPr>
          <w:sz w:val="20"/>
          <w:szCs w:val="22"/>
        </w:rPr>
        <w:t>Humanit</w:t>
      </w:r>
      <w:proofErr w:type="spellEnd"/>
      <w:r w:rsidRPr="00CF519D">
        <w:rPr>
          <w:sz w:val="20"/>
          <w:szCs w:val="22"/>
        </w:rPr>
        <w:t>. 2022, 2, 51–55. https://doi.org/10.55544/ijrah.2.4.45.</w:t>
      </w:r>
    </w:p>
    <w:p w14:paraId="3BD3F457"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lastRenderedPageBreak/>
        <w:t xml:space="preserve">30. Svensson, I.; Nordström, T.; Lindeblad, E.; Gustafson, S.; Björn, M.; Sand, C.; Almgren Bäck, G.; Nilsson, S. Effects of assistive technology for students with reading and writing disabilities. Disabil. </w:t>
      </w:r>
      <w:proofErr w:type="spellStart"/>
      <w:r w:rsidRPr="00CF519D">
        <w:rPr>
          <w:sz w:val="20"/>
          <w:szCs w:val="22"/>
        </w:rPr>
        <w:t>Rehabil</w:t>
      </w:r>
      <w:proofErr w:type="spellEnd"/>
      <w:r w:rsidRPr="00CF519D">
        <w:rPr>
          <w:sz w:val="20"/>
          <w:szCs w:val="22"/>
        </w:rPr>
        <w:t>. Assist. Technol. 2021, 16, 196–208. https://doi.org/10.1080/17483107.2019.1646821.</w:t>
      </w:r>
    </w:p>
    <w:p w14:paraId="4D5182A6"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31. Keelor, J.L.; </w:t>
      </w:r>
      <w:proofErr w:type="spellStart"/>
      <w:r w:rsidRPr="00CF519D">
        <w:rPr>
          <w:sz w:val="20"/>
          <w:szCs w:val="22"/>
        </w:rPr>
        <w:t>Creaghead</w:t>
      </w:r>
      <w:proofErr w:type="spellEnd"/>
      <w:r w:rsidRPr="00CF519D">
        <w:rPr>
          <w:sz w:val="20"/>
          <w:szCs w:val="22"/>
        </w:rPr>
        <w:t>, N.A.; Silbert, N.H.; Breit, A.D.; Horowitz-Kraus, T. Impact of text-to-speech features on the reading comprehension of children with reading and language difficulties. Ann. Dyslexia 2023, 73, 469–486. https://doi.org/10.1007/s11881-023-00281-9.</w:t>
      </w:r>
    </w:p>
    <w:p w14:paraId="4B0DFA5D"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32. Young, M.C.; Courtad, C.A.; Douglas, K.H.; Chung, Y.-C. The effects of text-to-speech on reading outcomes for secondary students with learning disabilities. J. Spec. Educ. Technol. 2019, 34, 80–91. https://doi.org/10.1177/0162643418786047.</w:t>
      </w:r>
    </w:p>
    <w:p w14:paraId="724A9660"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33. Sulaimon, T.; Schaefer, J. The impact of text-to-speech on reading comprehension of students with learning disabilities in an urban school. </w:t>
      </w:r>
      <w:proofErr w:type="spellStart"/>
      <w:r w:rsidRPr="00CF519D">
        <w:rPr>
          <w:sz w:val="20"/>
          <w:szCs w:val="22"/>
        </w:rPr>
        <w:t>TechTrends</w:t>
      </w:r>
      <w:proofErr w:type="spellEnd"/>
      <w:r w:rsidRPr="00CF519D">
        <w:rPr>
          <w:sz w:val="20"/>
          <w:szCs w:val="22"/>
        </w:rPr>
        <w:t xml:space="preserve"> 2023, 67, 376–383. https://doi.org/10.1007/s11528-022-00800-2.</w:t>
      </w:r>
    </w:p>
    <w:p w14:paraId="3277E3DA"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34. Schmitt, A.J.; McCallum, E.; Hawkins, R.O.; Stephenson, E.; Vicencio, K. The effects of two assistive technologies on reading comprehension accuracy and rate. Assist. Technol. 2019, 31, 220–230. https://doi.org/10.1080/10400435.2018.1431974.</w:t>
      </w:r>
    </w:p>
    <w:p w14:paraId="3C6CE927"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35. Alqahtani, S.S. iPad text-to-speech and repeated reading to improve reading comprehension for students with SLD. Read. </w:t>
      </w:r>
      <w:proofErr w:type="gramStart"/>
      <w:r w:rsidRPr="00CF519D">
        <w:rPr>
          <w:sz w:val="20"/>
          <w:szCs w:val="22"/>
        </w:rPr>
        <w:t>Writ</w:t>
      </w:r>
      <w:proofErr w:type="gramEnd"/>
      <w:r w:rsidRPr="00CF519D">
        <w:rPr>
          <w:sz w:val="20"/>
          <w:szCs w:val="22"/>
        </w:rPr>
        <w:t>. Q. 2023, 39, 1–15. https://doi.org/10.1080/10573569.2021.1987363.</w:t>
      </w:r>
    </w:p>
    <w:p w14:paraId="39395788"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36. Ebajay, J.; Malabo, E. Text-to-speech technology: Effects on basic math concepts performance among learners with specific learning disabilities. Psychol. Educ. </w:t>
      </w:r>
      <w:proofErr w:type="spellStart"/>
      <w:r w:rsidRPr="00CF519D">
        <w:rPr>
          <w:sz w:val="20"/>
          <w:szCs w:val="22"/>
        </w:rPr>
        <w:t>Multidiscip</w:t>
      </w:r>
      <w:proofErr w:type="spellEnd"/>
      <w:r w:rsidRPr="00CF519D">
        <w:rPr>
          <w:sz w:val="20"/>
          <w:szCs w:val="22"/>
        </w:rPr>
        <w:t>. J. 2026, 54, 647–657. https://doi.org/10.70838/pemj.540506.</w:t>
      </w:r>
    </w:p>
    <w:p w14:paraId="67DFD87E" w14:textId="77777777" w:rsidR="00CF519D" w:rsidRPr="00CF519D" w:rsidRDefault="00CF519D" w:rsidP="00CF519D">
      <w:pPr>
        <w:pStyle w:val="MDPI81references"/>
        <w:numPr>
          <w:ilvl w:val="0"/>
          <w:numId w:val="0"/>
        </w:numPr>
        <w:ind w:left="425" w:hanging="425"/>
        <w:rPr>
          <w:sz w:val="20"/>
          <w:szCs w:val="22"/>
        </w:rPr>
      </w:pPr>
      <w:r>
        <w:t>37. Nuraini Herawati, D.R.; Widajati, W.; Sartinah, E.P. The role of text-to-speech assistive technology to improve reading ability in e-learning for ADHD students. J. ICSAR 2022, 6, 169–174. https://doi.org/10.17977/um005v6i22022p169.</w:t>
      </w:r>
    </w:p>
    <w:p w14:paraId="11813CAF"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38. McCarthy, T.; Rosenblum, L.P.; Johnson, B.G.; Dittel, J.; Kearns, D.M. An artificial intelligence tutor: A supplementary tool for teaching and practicing Braille. J. Vis. Impair. Blind. 2016, 110, 309–322. https://doi.org/10.1177/0145482X1611000503.</w:t>
      </w:r>
    </w:p>
    <w:p w14:paraId="2601B00F" w14:textId="77777777" w:rsidR="00CF519D" w:rsidRPr="00CF519D" w:rsidRDefault="00CF519D" w:rsidP="00CF519D">
      <w:pPr>
        <w:pStyle w:val="MDPI81references"/>
        <w:numPr>
          <w:ilvl w:val="0"/>
          <w:numId w:val="0"/>
        </w:numPr>
        <w:ind w:left="425" w:hanging="425"/>
        <w:rPr>
          <w:sz w:val="20"/>
          <w:szCs w:val="22"/>
        </w:rPr>
      </w:pPr>
      <w:r>
        <w:t>39. Svensson, I.; Nilsson, S.; Fälth, L.; Selenius, H.; Sand, C. Text-to-speech as reading aid for students with intellectual disabilities: A single-subject design. J. Spec. Educ. Technol. 2026, 41, 328–341. https://doi.org/10.1177/01626434251403017.</w:t>
      </w:r>
    </w:p>
    <w:p w14:paraId="29CC08EA"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40. Chen, C.-H.; Hung, L.-Y.; Jian, Y.-C. The effects of text-to-speech on reading comprehension in junior high school students with reading disabilities: An eye-tracking study in Taiwan. Read. </w:t>
      </w:r>
      <w:proofErr w:type="gramStart"/>
      <w:r w:rsidRPr="00CF519D">
        <w:rPr>
          <w:sz w:val="20"/>
          <w:szCs w:val="22"/>
        </w:rPr>
        <w:t>Writ</w:t>
      </w:r>
      <w:proofErr w:type="gramEnd"/>
      <w:r w:rsidRPr="00CF519D">
        <w:rPr>
          <w:sz w:val="20"/>
          <w:szCs w:val="22"/>
        </w:rPr>
        <w:t>. 2026, advance online publication. https://doi.org/10.1007/s11145-025-10738-5.</w:t>
      </w:r>
    </w:p>
    <w:p w14:paraId="137ECE34"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41. </w:t>
      </w:r>
      <w:proofErr w:type="spellStart"/>
      <w:r w:rsidRPr="00CF519D">
        <w:rPr>
          <w:sz w:val="20"/>
          <w:szCs w:val="22"/>
        </w:rPr>
        <w:t>Grunér</w:t>
      </w:r>
      <w:proofErr w:type="spellEnd"/>
      <w:r w:rsidRPr="00CF519D">
        <w:rPr>
          <w:sz w:val="20"/>
          <w:szCs w:val="22"/>
        </w:rPr>
        <w:t>, S.; Östberg, P.; Hedenius, M. The compensatory effect of text-to-speech technology on reading comprehension and reading rate in Swedish schoolchildren with reading disability: The moderating effect of inattention and hyperactivity symptoms differs by grade groups. J. Spec. Educ. Technol. 2018, 33, 98–110. https://doi.org/10.1177/0162643417742898.</w:t>
      </w:r>
    </w:p>
    <w:p w14:paraId="02B96887"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42. Bonifacci, P.; Colombini, E.; Marzocchi, M.; Tobia, V.; </w:t>
      </w:r>
      <w:proofErr w:type="spellStart"/>
      <w:r w:rsidRPr="00CF519D">
        <w:rPr>
          <w:sz w:val="20"/>
          <w:szCs w:val="22"/>
        </w:rPr>
        <w:t>Desideri</w:t>
      </w:r>
      <w:proofErr w:type="spellEnd"/>
      <w:r w:rsidRPr="00CF519D">
        <w:rPr>
          <w:sz w:val="20"/>
          <w:szCs w:val="22"/>
        </w:rPr>
        <w:t xml:space="preserve">, L. Text-to-speech applications to reduce mind wandering in students with dyslexia. J. </w:t>
      </w:r>
      <w:proofErr w:type="spellStart"/>
      <w:r w:rsidRPr="00CF519D">
        <w:rPr>
          <w:sz w:val="20"/>
          <w:szCs w:val="22"/>
        </w:rPr>
        <w:t>Comput</w:t>
      </w:r>
      <w:proofErr w:type="spellEnd"/>
      <w:r w:rsidRPr="00CF519D">
        <w:rPr>
          <w:sz w:val="20"/>
          <w:szCs w:val="22"/>
        </w:rPr>
        <w:t>. Assist. Learn. 2022, 38, 440–454. https://doi.org/10.1111/jcal.12624.</w:t>
      </w:r>
    </w:p>
    <w:p w14:paraId="1DEBA909"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43. Moorman, A.; Boon, R.T.; Keller-Bell, Y.; Stagliano, C.; Jeffs, T. Effects of text-to-speech software on the reading rate and comprehension skills of high school students with specific learning disabilities. Learn. Disabil. </w:t>
      </w:r>
      <w:proofErr w:type="spellStart"/>
      <w:r w:rsidRPr="00CF519D">
        <w:rPr>
          <w:sz w:val="20"/>
          <w:szCs w:val="22"/>
        </w:rPr>
        <w:t>Multidiscip</w:t>
      </w:r>
      <w:proofErr w:type="spellEnd"/>
      <w:r w:rsidRPr="00CF519D">
        <w:rPr>
          <w:sz w:val="20"/>
          <w:szCs w:val="22"/>
        </w:rPr>
        <w:t>. J. 2010, 16, 41–49. ERIC accession no. EJ874470.</w:t>
      </w:r>
    </w:p>
    <w:p w14:paraId="74C07544"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44. Meyer, N.K.; Bouck, E.C. The impact of text-to-speech on expository reading for adolescents with LD. J. Spec. Educ. Technol. 2014, 29, 21–33. https://doi.org/10.1177/016264341402900102.</w:t>
      </w:r>
    </w:p>
    <w:p w14:paraId="165FAEFC"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45. Meyer, N.K.; Bouck, E.C. Read-aloud </w:t>
      </w:r>
      <w:proofErr w:type="gramStart"/>
      <w:r w:rsidRPr="00CF519D">
        <w:rPr>
          <w:sz w:val="20"/>
          <w:szCs w:val="22"/>
        </w:rPr>
        <w:t>accommodations</w:t>
      </w:r>
      <w:proofErr w:type="gramEnd"/>
      <w:r w:rsidRPr="00CF519D">
        <w:rPr>
          <w:sz w:val="20"/>
          <w:szCs w:val="22"/>
        </w:rPr>
        <w:t xml:space="preserve">, expository text, and adolescents with learning disabilities. Learn. Disabil. </w:t>
      </w:r>
      <w:proofErr w:type="spellStart"/>
      <w:r w:rsidRPr="00CF519D">
        <w:rPr>
          <w:sz w:val="20"/>
          <w:szCs w:val="22"/>
        </w:rPr>
        <w:t>Multidiscip</w:t>
      </w:r>
      <w:proofErr w:type="spellEnd"/>
      <w:r w:rsidRPr="00CF519D">
        <w:rPr>
          <w:sz w:val="20"/>
          <w:szCs w:val="22"/>
        </w:rPr>
        <w:t>. J. 2017, 22, 34–47. https://doi.org/10.18666/LDMJ-2017-V22-I1-7932.</w:t>
      </w:r>
    </w:p>
    <w:p w14:paraId="6FC8C7FF"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46. Brunow, D.A.; Cullen, T.A. Effect of text-to-speech and human reader on listening comprehension for students with learning disabilities. </w:t>
      </w:r>
      <w:proofErr w:type="spellStart"/>
      <w:r w:rsidRPr="00CF519D">
        <w:rPr>
          <w:sz w:val="20"/>
          <w:szCs w:val="22"/>
        </w:rPr>
        <w:t>Comput</w:t>
      </w:r>
      <w:proofErr w:type="spellEnd"/>
      <w:r w:rsidRPr="00CF519D">
        <w:rPr>
          <w:sz w:val="20"/>
          <w:szCs w:val="22"/>
        </w:rPr>
        <w:t>. Sch. 2021, 38, 214–231. https://doi.org/10.1080/07380569.2021.1953362.</w:t>
      </w:r>
    </w:p>
    <w:p w14:paraId="04AD624C"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47. </w:t>
      </w:r>
      <w:proofErr w:type="spellStart"/>
      <w:r w:rsidRPr="00CF519D">
        <w:rPr>
          <w:sz w:val="20"/>
          <w:szCs w:val="22"/>
        </w:rPr>
        <w:t>Fälth</w:t>
      </w:r>
      <w:proofErr w:type="spellEnd"/>
      <w:r w:rsidRPr="00CF519D">
        <w:rPr>
          <w:sz w:val="20"/>
          <w:szCs w:val="22"/>
        </w:rPr>
        <w:t xml:space="preserve">, L.; Nilsson, S.; Björklund, T.; Svensson, I.; </w:t>
      </w:r>
      <w:proofErr w:type="spellStart"/>
      <w:r w:rsidRPr="00CF519D">
        <w:rPr>
          <w:sz w:val="20"/>
          <w:szCs w:val="22"/>
        </w:rPr>
        <w:t>Selenius</w:t>
      </w:r>
      <w:proofErr w:type="spellEnd"/>
      <w:r w:rsidRPr="00CF519D">
        <w:rPr>
          <w:sz w:val="20"/>
          <w:szCs w:val="22"/>
        </w:rPr>
        <w:t>, H. Using digital technology for text comprehension: A single-subject design study on students with mild intellectual disability. Eur. J. Spec. Needs Educ. 2025, 40, 1045–1059. https://doi.org/10.1080/08856257.2025.2474841.</w:t>
      </w:r>
    </w:p>
    <w:p w14:paraId="0AA0BD60"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t xml:space="preserve">48. Silvestri, R.; Holmes, A.; </w:t>
      </w:r>
      <w:proofErr w:type="spellStart"/>
      <w:r w:rsidRPr="00CF519D">
        <w:rPr>
          <w:sz w:val="20"/>
          <w:szCs w:val="22"/>
        </w:rPr>
        <w:t>Rahemtulla</w:t>
      </w:r>
      <w:proofErr w:type="spellEnd"/>
      <w:r w:rsidRPr="00CF519D">
        <w:rPr>
          <w:sz w:val="20"/>
          <w:szCs w:val="22"/>
        </w:rPr>
        <w:t xml:space="preserve">, R. The interaction of cognitive profiles and text-to-speech software on reading comprehension of adolescents with reading challenges. </w:t>
      </w:r>
      <w:r w:rsidRPr="00CF519D">
        <w:rPr>
          <w:sz w:val="20"/>
          <w:szCs w:val="22"/>
          <w:lang w:val="fr-FR"/>
        </w:rPr>
        <w:t xml:space="preserve">J. </w:t>
      </w:r>
      <w:proofErr w:type="spellStart"/>
      <w:r w:rsidRPr="00CF519D">
        <w:rPr>
          <w:sz w:val="20"/>
          <w:szCs w:val="22"/>
          <w:lang w:val="fr-FR"/>
        </w:rPr>
        <w:t>Spec</w:t>
      </w:r>
      <w:proofErr w:type="spellEnd"/>
      <w:r w:rsidRPr="00CF519D">
        <w:rPr>
          <w:sz w:val="20"/>
          <w:szCs w:val="22"/>
          <w:lang w:val="fr-FR"/>
        </w:rPr>
        <w:t xml:space="preserve">. Educ. </w:t>
      </w:r>
      <w:proofErr w:type="spellStart"/>
      <w:r w:rsidRPr="00CF519D">
        <w:rPr>
          <w:sz w:val="20"/>
          <w:szCs w:val="22"/>
          <w:lang w:val="fr-FR"/>
        </w:rPr>
        <w:t>Technol</w:t>
      </w:r>
      <w:proofErr w:type="spellEnd"/>
      <w:r w:rsidRPr="00CF519D">
        <w:rPr>
          <w:sz w:val="20"/>
          <w:szCs w:val="22"/>
          <w:lang w:val="fr-FR"/>
        </w:rPr>
        <w:t xml:space="preserve">. 2022, 37, 498–509. https://doi.org/10.1177/01626434211033577. </w:t>
      </w:r>
      <w:proofErr w:type="spellStart"/>
      <w:proofErr w:type="gramStart"/>
      <w:r w:rsidRPr="00CF519D">
        <w:rPr>
          <w:sz w:val="20"/>
          <w:szCs w:val="22"/>
          <w:lang w:val="fr-FR"/>
        </w:rPr>
        <w:t>Corrigendum</w:t>
      </w:r>
      <w:proofErr w:type="spellEnd"/>
      <w:r w:rsidRPr="00CF519D">
        <w:rPr>
          <w:sz w:val="20"/>
          <w:szCs w:val="22"/>
          <w:lang w:val="fr-FR"/>
        </w:rPr>
        <w:t>:</w:t>
      </w:r>
      <w:proofErr w:type="gramEnd"/>
      <w:r w:rsidRPr="00CF519D">
        <w:rPr>
          <w:sz w:val="20"/>
          <w:szCs w:val="22"/>
          <w:lang w:val="fr-FR"/>
        </w:rPr>
        <w:t xml:space="preserve"> J. </w:t>
      </w:r>
      <w:proofErr w:type="spellStart"/>
      <w:r w:rsidRPr="00CF519D">
        <w:rPr>
          <w:sz w:val="20"/>
          <w:szCs w:val="22"/>
          <w:lang w:val="fr-FR"/>
        </w:rPr>
        <w:t>Spec</w:t>
      </w:r>
      <w:proofErr w:type="spellEnd"/>
      <w:r w:rsidRPr="00CF519D">
        <w:rPr>
          <w:sz w:val="20"/>
          <w:szCs w:val="22"/>
          <w:lang w:val="fr-FR"/>
        </w:rPr>
        <w:t xml:space="preserve">. </w:t>
      </w:r>
      <w:r w:rsidRPr="00CF519D">
        <w:rPr>
          <w:sz w:val="20"/>
          <w:szCs w:val="22"/>
        </w:rPr>
        <w:t>Educ. Technol. 2021, 36, 336. https://doi.org/10.1177/01626434211046829.</w:t>
      </w:r>
    </w:p>
    <w:p w14:paraId="538DD574" w14:textId="77777777" w:rsidR="00CF519D" w:rsidRPr="00CF519D" w:rsidRDefault="00CF519D" w:rsidP="00CF519D">
      <w:pPr>
        <w:pStyle w:val="MDPI81references"/>
        <w:numPr>
          <w:ilvl w:val="0"/>
          <w:numId w:val="0"/>
        </w:numPr>
        <w:ind w:left="425" w:hanging="425"/>
        <w:rPr>
          <w:sz w:val="20"/>
          <w:szCs w:val="22"/>
        </w:rPr>
      </w:pPr>
      <w:r w:rsidRPr="00CF519D">
        <w:rPr>
          <w:sz w:val="20"/>
          <w:szCs w:val="22"/>
        </w:rPr>
        <w:lastRenderedPageBreak/>
        <w:t>49. Kraft, S. Revisions in written composition: Introducing speech-to-text to children with reading and writing difficulties. Front. Educ. 2023, 8, 1133930. https://doi.org/10.3389/feduc.2023.1133930.</w:t>
      </w:r>
    </w:p>
    <w:sectPr w:rsidR="00CF519D" w:rsidRPr="00CF519D" w:rsidSect="00CA5C88">
      <w:headerReference w:type="even" r:id="rId14"/>
      <w:headerReference w:type="default" r:id="rId15"/>
      <w:footerReference w:type="default" r:id="rId16"/>
      <w:headerReference w:type="first" r:id="rId17"/>
      <w:footerReference w:type="first" r:id="rId18"/>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A1CC7" w14:textId="77777777" w:rsidR="00FF6B9B" w:rsidRPr="000D7AD8" w:rsidRDefault="00FF6B9B">
      <w:pPr>
        <w:spacing w:line="240" w:lineRule="auto"/>
      </w:pPr>
      <w:r w:rsidRPr="000D7AD8">
        <w:separator/>
      </w:r>
    </w:p>
  </w:endnote>
  <w:endnote w:type="continuationSeparator" w:id="0">
    <w:p w14:paraId="5458E078" w14:textId="77777777" w:rsidR="00FF6B9B" w:rsidRPr="000D7AD8" w:rsidRDefault="00FF6B9B">
      <w:pPr>
        <w:spacing w:line="240" w:lineRule="auto"/>
      </w:pPr>
      <w:r w:rsidRPr="000D7A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302B" w14:textId="77777777" w:rsidR="006708D4" w:rsidRDefault="006708D4">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78F3" w14:textId="77777777" w:rsidR="00296510" w:rsidRPr="000D7AD8" w:rsidRDefault="00296510" w:rsidP="00296510">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31C1" w14:textId="77777777" w:rsidR="00296510" w:rsidRPr="00D70CF7" w:rsidRDefault="00296510" w:rsidP="00D70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8C91" w14:textId="77777777" w:rsidR="00FF6B9B" w:rsidRPr="000D7AD8" w:rsidRDefault="00FF6B9B">
      <w:pPr>
        <w:spacing w:line="240" w:lineRule="auto"/>
      </w:pPr>
      <w:r w:rsidRPr="000D7AD8">
        <w:separator/>
      </w:r>
    </w:p>
  </w:footnote>
  <w:footnote w:type="continuationSeparator" w:id="0">
    <w:p w14:paraId="05E14051" w14:textId="77777777" w:rsidR="00FF6B9B" w:rsidRPr="000D7AD8" w:rsidRDefault="00FF6B9B">
      <w:pPr>
        <w:spacing w:line="240" w:lineRule="auto"/>
      </w:pPr>
      <w:r w:rsidRPr="000D7AD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10487" w:type="dxa"/>
      <w:tblLayout w:type="fixed"/>
      <w:tblCellMar>
        <w:left w:w="0" w:type="dxa"/>
        <w:right w:w="0" w:type="dxa"/>
      </w:tblCellMar>
      <w:tblLook w:val="04A0" w:firstRow="1" w:lastRow="0" w:firstColumn="1" w:lastColumn="0" w:noHBand="0" w:noVBand="1"/>
    </w:tblPr>
    <w:tblGrid>
      <w:gridCol w:w="3678"/>
      <w:gridCol w:w="4536"/>
      <w:gridCol w:w="2273"/>
    </w:tblGrid>
    <w:tr w:rsidR="00AE21B2" w14:paraId="09E3B51D" w14:textId="77777777" w:rsidTr="00EF2BF2">
      <w:trPr>
        <w:trHeight w:val="686"/>
      </w:trPr>
      <w:tc>
        <w:tcPr>
          <w:tcW w:w="3678" w:type="dxa"/>
          <w:vAlign w:val="center"/>
        </w:tcPr>
        <w:p w14:paraId="21ABBB4B" w14:textId="77777777" w:rsidR="00AE21B2" w:rsidRDefault="00AE21B2" w:rsidP="00AE21B2">
          <w:pPr>
            <w:pStyle w:val="Header"/>
            <w:pBdr>
              <w:bottom w:val="nil"/>
            </w:pBdr>
            <w:jc w:val="left"/>
            <w:rPr>
              <w:rFonts w:eastAsia="DengXian"/>
              <w:b/>
              <w:bCs/>
            </w:rPr>
          </w:pPr>
          <w:r>
            <w:rPr>
              <w:noProof/>
            </w:rPr>
            <w:drawing>
              <wp:inline distT="0" distB="0" distL="0" distR="0" wp14:anchorId="26D9BB36" wp14:editId="09EFD49F">
                <wp:extent cx="1265555" cy="431800"/>
                <wp:effectExtent l="0" t="0" r="0" b="0"/>
                <wp:docPr id="4" name="Image4" descr="Children journ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The image depicts a stylized representation of a child's silhouette with a blue background, symbolizing the brand or concept of 'Childen'.&#10;&#10;AI-generated content may be incorrect."/>
                        <pic:cNvPicPr>
                          <a:picLocks noChangeAspect="1" noChangeArrowheads="1"/>
                        </pic:cNvPicPr>
                      </pic:nvPicPr>
                      <pic:blipFill>
                        <a:blip r:embed="rId1"/>
                        <a:stretch>
                          <a:fillRect/>
                        </a:stretch>
                      </pic:blipFill>
                      <pic:spPr bwMode="auto">
                        <a:xfrm>
                          <a:off x="0" y="0"/>
                          <a:ext cx="1265555" cy="431800"/>
                        </a:xfrm>
                        <a:prstGeom prst="rect">
                          <a:avLst/>
                        </a:prstGeom>
                        <a:noFill/>
                      </pic:spPr>
                    </pic:pic>
                  </a:graphicData>
                </a:graphic>
              </wp:inline>
            </w:drawing>
          </w:r>
        </w:p>
      </w:tc>
      <w:tc>
        <w:tcPr>
          <w:tcW w:w="4536" w:type="dxa"/>
          <w:vAlign w:val="center"/>
        </w:tcPr>
        <w:p w14:paraId="543CF659" w14:textId="77777777" w:rsidR="00AE21B2" w:rsidRDefault="00AE21B2" w:rsidP="00AE21B2">
          <w:pPr>
            <w:pStyle w:val="Header"/>
            <w:pBdr>
              <w:bottom w:val="nil"/>
            </w:pBdr>
            <w:rPr>
              <w:rFonts w:eastAsia="DengXian"/>
              <w:b/>
              <w:bCs/>
            </w:rPr>
          </w:pPr>
        </w:p>
      </w:tc>
      <w:tc>
        <w:tcPr>
          <w:tcW w:w="2273" w:type="dxa"/>
          <w:vAlign w:val="center"/>
        </w:tcPr>
        <w:p w14:paraId="41C3A6D3" w14:textId="77777777" w:rsidR="00AE21B2" w:rsidRDefault="00AE21B2" w:rsidP="00AE21B2">
          <w:pPr>
            <w:pStyle w:val="Header"/>
            <w:pBdr>
              <w:bottom w:val="nil"/>
            </w:pBdr>
            <w:jc w:val="right"/>
            <w:rPr>
              <w:rFonts w:eastAsia="DengXian"/>
              <w:b/>
              <w:bCs/>
            </w:rPr>
          </w:pPr>
          <w:r>
            <w:rPr>
              <w:noProof/>
            </w:rPr>
            <w:drawing>
              <wp:inline distT="0" distB="0" distL="0" distR="0" wp14:anchorId="50BC8E9C" wp14:editId="6CB7CF03">
                <wp:extent cx="539750" cy="360045"/>
                <wp:effectExtent l="0" t="0" r="0" b="0"/>
                <wp:docPr id="5" name="Image5" descr="MD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MDPI&#10;&#10;AI-generated content may be incorrect."/>
                        <pic:cNvPicPr>
                          <a:picLocks noChangeAspect="1" noChangeArrowheads="1"/>
                        </pic:cNvPicPr>
                      </pic:nvPicPr>
                      <pic:blipFill>
                        <a:blip r:embed="rId2"/>
                        <a:stretch>
                          <a:fillRect/>
                        </a:stretch>
                      </pic:blipFill>
                      <pic:spPr bwMode="auto">
                        <a:xfrm>
                          <a:off x="0" y="0"/>
                          <a:ext cx="539750" cy="360045"/>
                        </a:xfrm>
                        <a:prstGeom prst="rect">
                          <a:avLst/>
                        </a:prstGeom>
                        <a:noFill/>
                      </pic:spPr>
                    </pic:pic>
                  </a:graphicData>
                </a:graphic>
              </wp:inline>
            </w:drawing>
          </w:r>
        </w:p>
      </w:tc>
    </w:tr>
  </w:tbl>
  <w:p w14:paraId="7FA7BF72" w14:textId="77777777" w:rsidR="00AE21B2" w:rsidRDefault="00AE21B2" w:rsidP="00AE21B2">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DD17" w14:textId="77777777" w:rsidR="00296510" w:rsidRPr="000D7AD8" w:rsidRDefault="00296510" w:rsidP="00296510">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D0741" w14:textId="77777777" w:rsidR="00296510" w:rsidRPr="00D70CF7" w:rsidRDefault="00296510" w:rsidP="00D70CF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E820F" w14:textId="77777777" w:rsidR="00296510" w:rsidRPr="00D70CF7" w:rsidRDefault="00296510" w:rsidP="00D70C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865E53BA"/>
    <w:lvl w:ilvl="0" w:tplc="04090001">
      <w:start w:val="1"/>
      <w:numFmt w:val="bullet"/>
      <w:pStyle w:val="MDPI71footnotes"/>
      <w:lvlText w:val=""/>
      <w:lvlJc w:val="left"/>
      <w:pPr>
        <w:ind w:left="425" w:hanging="425"/>
      </w:pPr>
      <w:rPr>
        <w:rFonts w:ascii="Symbol" w:hAnsi="Symbol"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FB327A18"/>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6DB277C"/>
    <w:multiLevelType w:val="hybridMultilevel"/>
    <w:tmpl w:val="C2BC202A"/>
    <w:lvl w:ilvl="0" w:tplc="BDC0E68A">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926573"/>
    <w:multiLevelType w:val="hybridMultilevel"/>
    <w:tmpl w:val="2F566C9A"/>
    <w:lvl w:ilvl="0" w:tplc="BDD65B8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886E47AC"/>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2249DB"/>
    <w:multiLevelType w:val="hybridMultilevel"/>
    <w:tmpl w:val="69A077F6"/>
    <w:lvl w:ilvl="0" w:tplc="F4B8DAF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774980546">
    <w:abstractNumId w:val="4"/>
  </w:num>
  <w:num w:numId="2" w16cid:durableId="1857764021">
    <w:abstractNumId w:val="6"/>
  </w:num>
  <w:num w:numId="3" w16cid:durableId="1734234488">
    <w:abstractNumId w:val="3"/>
  </w:num>
  <w:num w:numId="4" w16cid:durableId="1947346346">
    <w:abstractNumId w:val="5"/>
  </w:num>
  <w:num w:numId="5" w16cid:durableId="529727752">
    <w:abstractNumId w:val="10"/>
  </w:num>
  <w:num w:numId="6" w16cid:durableId="1341548831">
    <w:abstractNumId w:val="2"/>
  </w:num>
  <w:num w:numId="7" w16cid:durableId="2087602399">
    <w:abstractNumId w:val="10"/>
  </w:num>
  <w:num w:numId="8" w16cid:durableId="1875583101">
    <w:abstractNumId w:val="2"/>
  </w:num>
  <w:num w:numId="9" w16cid:durableId="572591648">
    <w:abstractNumId w:val="10"/>
  </w:num>
  <w:num w:numId="10" w16cid:durableId="1767916984">
    <w:abstractNumId w:val="2"/>
  </w:num>
  <w:num w:numId="11" w16cid:durableId="12762086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1746799">
    <w:abstractNumId w:val="0"/>
  </w:num>
  <w:num w:numId="13" w16cid:durableId="952708880">
    <w:abstractNumId w:val="11"/>
  </w:num>
  <w:num w:numId="14" w16cid:durableId="565799226">
    <w:abstractNumId w:val="12"/>
  </w:num>
  <w:num w:numId="15" w16cid:durableId="398526516">
    <w:abstractNumId w:val="10"/>
  </w:num>
  <w:num w:numId="16" w16cid:durableId="193739690">
    <w:abstractNumId w:val="2"/>
  </w:num>
  <w:num w:numId="17" w16cid:durableId="1271091187">
    <w:abstractNumId w:val="1"/>
  </w:num>
  <w:num w:numId="18" w16cid:durableId="1305428912">
    <w:abstractNumId w:val="9"/>
  </w:num>
  <w:num w:numId="19" w16cid:durableId="1963031192">
    <w:abstractNumId w:val="0"/>
  </w:num>
  <w:num w:numId="20" w16cid:durableId="299773515">
    <w:abstractNumId w:val="10"/>
  </w:num>
  <w:num w:numId="21" w16cid:durableId="858927541">
    <w:abstractNumId w:val="2"/>
  </w:num>
  <w:num w:numId="22" w16cid:durableId="151409473">
    <w:abstractNumId w:val="1"/>
  </w:num>
  <w:num w:numId="23" w16cid:durableId="1704473270">
    <w:abstractNumId w:val="8"/>
  </w:num>
  <w:num w:numId="24" w16cid:durableId="423185179">
    <w:abstractNumId w:val="13"/>
  </w:num>
  <w:num w:numId="25" w16cid:durableId="8670604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08E"/>
    <w:rsid w:val="00001668"/>
    <w:rsid w:val="0000749A"/>
    <w:rsid w:val="0001608E"/>
    <w:rsid w:val="00017A9B"/>
    <w:rsid w:val="0003425F"/>
    <w:rsid w:val="00044D4C"/>
    <w:rsid w:val="000637E0"/>
    <w:rsid w:val="000642D3"/>
    <w:rsid w:val="00071271"/>
    <w:rsid w:val="00072BC4"/>
    <w:rsid w:val="000739E4"/>
    <w:rsid w:val="00080503"/>
    <w:rsid w:val="00086E4B"/>
    <w:rsid w:val="0009592D"/>
    <w:rsid w:val="000A1276"/>
    <w:rsid w:val="000A12FF"/>
    <w:rsid w:val="000A61DC"/>
    <w:rsid w:val="000A686C"/>
    <w:rsid w:val="000C0691"/>
    <w:rsid w:val="000C75C8"/>
    <w:rsid w:val="000D7AD8"/>
    <w:rsid w:val="000E496C"/>
    <w:rsid w:val="000E53D6"/>
    <w:rsid w:val="000F66E5"/>
    <w:rsid w:val="001022C6"/>
    <w:rsid w:val="001025B1"/>
    <w:rsid w:val="00104B40"/>
    <w:rsid w:val="00112F1C"/>
    <w:rsid w:val="00120518"/>
    <w:rsid w:val="00120D74"/>
    <w:rsid w:val="00122FB0"/>
    <w:rsid w:val="001462F1"/>
    <w:rsid w:val="00152DD7"/>
    <w:rsid w:val="001618D3"/>
    <w:rsid w:val="001825F9"/>
    <w:rsid w:val="0018381C"/>
    <w:rsid w:val="00184D02"/>
    <w:rsid w:val="00186A59"/>
    <w:rsid w:val="00187F88"/>
    <w:rsid w:val="0019231D"/>
    <w:rsid w:val="001A55D4"/>
    <w:rsid w:val="001B205E"/>
    <w:rsid w:val="001B4A6A"/>
    <w:rsid w:val="001C7B45"/>
    <w:rsid w:val="001D00F6"/>
    <w:rsid w:val="001D5F6F"/>
    <w:rsid w:val="001E2AEB"/>
    <w:rsid w:val="001E3E39"/>
    <w:rsid w:val="001F1BDF"/>
    <w:rsid w:val="00220B46"/>
    <w:rsid w:val="0022309F"/>
    <w:rsid w:val="00226709"/>
    <w:rsid w:val="002307AB"/>
    <w:rsid w:val="00233EF2"/>
    <w:rsid w:val="00236915"/>
    <w:rsid w:val="00240E06"/>
    <w:rsid w:val="00243DA9"/>
    <w:rsid w:val="00245594"/>
    <w:rsid w:val="00247787"/>
    <w:rsid w:val="00247DDB"/>
    <w:rsid w:val="00251B11"/>
    <w:rsid w:val="00261819"/>
    <w:rsid w:val="00273F7C"/>
    <w:rsid w:val="00276EA6"/>
    <w:rsid w:val="00286491"/>
    <w:rsid w:val="002935DE"/>
    <w:rsid w:val="00295161"/>
    <w:rsid w:val="00296510"/>
    <w:rsid w:val="002A2ABF"/>
    <w:rsid w:val="002A2EF9"/>
    <w:rsid w:val="002A6DB9"/>
    <w:rsid w:val="002B7361"/>
    <w:rsid w:val="002E2906"/>
    <w:rsid w:val="002E2DE1"/>
    <w:rsid w:val="002F31E4"/>
    <w:rsid w:val="0030143F"/>
    <w:rsid w:val="00304F16"/>
    <w:rsid w:val="00311ABB"/>
    <w:rsid w:val="00313899"/>
    <w:rsid w:val="00314DAC"/>
    <w:rsid w:val="00326141"/>
    <w:rsid w:val="00346238"/>
    <w:rsid w:val="00350610"/>
    <w:rsid w:val="00360720"/>
    <w:rsid w:val="00365337"/>
    <w:rsid w:val="00373406"/>
    <w:rsid w:val="0038164D"/>
    <w:rsid w:val="00381A7C"/>
    <w:rsid w:val="00387261"/>
    <w:rsid w:val="003909D1"/>
    <w:rsid w:val="00390E77"/>
    <w:rsid w:val="00395646"/>
    <w:rsid w:val="003C6D05"/>
    <w:rsid w:val="003D0C68"/>
    <w:rsid w:val="003D35E9"/>
    <w:rsid w:val="003E34BB"/>
    <w:rsid w:val="003F143C"/>
    <w:rsid w:val="003F4BBB"/>
    <w:rsid w:val="0040019E"/>
    <w:rsid w:val="00401D30"/>
    <w:rsid w:val="00402C02"/>
    <w:rsid w:val="00406276"/>
    <w:rsid w:val="00414540"/>
    <w:rsid w:val="00425D14"/>
    <w:rsid w:val="0043406E"/>
    <w:rsid w:val="0044117F"/>
    <w:rsid w:val="00454A4A"/>
    <w:rsid w:val="004569AB"/>
    <w:rsid w:val="004A6E5B"/>
    <w:rsid w:val="004A77F6"/>
    <w:rsid w:val="004B5CD6"/>
    <w:rsid w:val="004C1CA3"/>
    <w:rsid w:val="004C444D"/>
    <w:rsid w:val="004C44C9"/>
    <w:rsid w:val="004C4602"/>
    <w:rsid w:val="004C62CC"/>
    <w:rsid w:val="004D1808"/>
    <w:rsid w:val="004E43E6"/>
    <w:rsid w:val="005037CF"/>
    <w:rsid w:val="00505D34"/>
    <w:rsid w:val="005061CB"/>
    <w:rsid w:val="005218B8"/>
    <w:rsid w:val="00521EFE"/>
    <w:rsid w:val="00545B32"/>
    <w:rsid w:val="0054764B"/>
    <w:rsid w:val="005621E7"/>
    <w:rsid w:val="0057236C"/>
    <w:rsid w:val="00574717"/>
    <w:rsid w:val="00577AC7"/>
    <w:rsid w:val="00585584"/>
    <w:rsid w:val="005934B1"/>
    <w:rsid w:val="005A0B2F"/>
    <w:rsid w:val="005A0E80"/>
    <w:rsid w:val="005B1F5A"/>
    <w:rsid w:val="005C39DE"/>
    <w:rsid w:val="005C4896"/>
    <w:rsid w:val="005C54EA"/>
    <w:rsid w:val="005D35E8"/>
    <w:rsid w:val="005D5592"/>
    <w:rsid w:val="005F3DB1"/>
    <w:rsid w:val="005F4E42"/>
    <w:rsid w:val="005F5CCC"/>
    <w:rsid w:val="00600FDB"/>
    <w:rsid w:val="00630892"/>
    <w:rsid w:val="00634B8E"/>
    <w:rsid w:val="00636BA4"/>
    <w:rsid w:val="00651C7F"/>
    <w:rsid w:val="00654710"/>
    <w:rsid w:val="00657B09"/>
    <w:rsid w:val="00661C0A"/>
    <w:rsid w:val="006632E0"/>
    <w:rsid w:val="006637CE"/>
    <w:rsid w:val="0067024B"/>
    <w:rsid w:val="006708D4"/>
    <w:rsid w:val="00670D09"/>
    <w:rsid w:val="006802C8"/>
    <w:rsid w:val="00681ECB"/>
    <w:rsid w:val="00692393"/>
    <w:rsid w:val="006967BB"/>
    <w:rsid w:val="006A50D9"/>
    <w:rsid w:val="006A5FFF"/>
    <w:rsid w:val="006D1911"/>
    <w:rsid w:val="006D7724"/>
    <w:rsid w:val="006E3291"/>
    <w:rsid w:val="006F6CFC"/>
    <w:rsid w:val="007070B6"/>
    <w:rsid w:val="0072310E"/>
    <w:rsid w:val="00733AB1"/>
    <w:rsid w:val="007345A6"/>
    <w:rsid w:val="00735757"/>
    <w:rsid w:val="00736B47"/>
    <w:rsid w:val="007531A9"/>
    <w:rsid w:val="00760C15"/>
    <w:rsid w:val="00773CD5"/>
    <w:rsid w:val="00774401"/>
    <w:rsid w:val="00787EE0"/>
    <w:rsid w:val="007964ED"/>
    <w:rsid w:val="00796C97"/>
    <w:rsid w:val="007A5949"/>
    <w:rsid w:val="007B74D0"/>
    <w:rsid w:val="007E15A0"/>
    <w:rsid w:val="007F7EDB"/>
    <w:rsid w:val="008070F8"/>
    <w:rsid w:val="00811CF9"/>
    <w:rsid w:val="00826B6B"/>
    <w:rsid w:val="0083148D"/>
    <w:rsid w:val="008319D9"/>
    <w:rsid w:val="00832849"/>
    <w:rsid w:val="00837687"/>
    <w:rsid w:val="00851B88"/>
    <w:rsid w:val="0085247A"/>
    <w:rsid w:val="00862CA1"/>
    <w:rsid w:val="00865957"/>
    <w:rsid w:val="00865AC6"/>
    <w:rsid w:val="0086702B"/>
    <w:rsid w:val="008765A7"/>
    <w:rsid w:val="00880DD1"/>
    <w:rsid w:val="00887EBA"/>
    <w:rsid w:val="008A43CE"/>
    <w:rsid w:val="008C740E"/>
    <w:rsid w:val="008E4422"/>
    <w:rsid w:val="00902C99"/>
    <w:rsid w:val="00923841"/>
    <w:rsid w:val="009377F9"/>
    <w:rsid w:val="00950A03"/>
    <w:rsid w:val="00954999"/>
    <w:rsid w:val="00967978"/>
    <w:rsid w:val="00972CA0"/>
    <w:rsid w:val="009731EF"/>
    <w:rsid w:val="00976E73"/>
    <w:rsid w:val="009843C1"/>
    <w:rsid w:val="009868C9"/>
    <w:rsid w:val="00995462"/>
    <w:rsid w:val="009B0F3A"/>
    <w:rsid w:val="009B3D1C"/>
    <w:rsid w:val="009C1B2D"/>
    <w:rsid w:val="009C4B54"/>
    <w:rsid w:val="009C55B7"/>
    <w:rsid w:val="009C6863"/>
    <w:rsid w:val="009D262F"/>
    <w:rsid w:val="009D3813"/>
    <w:rsid w:val="009E62EE"/>
    <w:rsid w:val="009F0F16"/>
    <w:rsid w:val="009F70E6"/>
    <w:rsid w:val="00A131A4"/>
    <w:rsid w:val="00A15D2C"/>
    <w:rsid w:val="00A32C06"/>
    <w:rsid w:val="00A40EC3"/>
    <w:rsid w:val="00A42CE2"/>
    <w:rsid w:val="00A433FB"/>
    <w:rsid w:val="00A44E1C"/>
    <w:rsid w:val="00A54FE2"/>
    <w:rsid w:val="00A77B78"/>
    <w:rsid w:val="00A90752"/>
    <w:rsid w:val="00A968E6"/>
    <w:rsid w:val="00AA0CBD"/>
    <w:rsid w:val="00AA77CF"/>
    <w:rsid w:val="00AB444C"/>
    <w:rsid w:val="00AB7C35"/>
    <w:rsid w:val="00AC7CA2"/>
    <w:rsid w:val="00AD44D2"/>
    <w:rsid w:val="00AE21B2"/>
    <w:rsid w:val="00AF0EBE"/>
    <w:rsid w:val="00AF528C"/>
    <w:rsid w:val="00B132F4"/>
    <w:rsid w:val="00B14174"/>
    <w:rsid w:val="00B23EAC"/>
    <w:rsid w:val="00B349A9"/>
    <w:rsid w:val="00B776E4"/>
    <w:rsid w:val="00B805D1"/>
    <w:rsid w:val="00B83A31"/>
    <w:rsid w:val="00B86EA6"/>
    <w:rsid w:val="00BC25F0"/>
    <w:rsid w:val="00BC42B0"/>
    <w:rsid w:val="00BC6245"/>
    <w:rsid w:val="00BD0FC8"/>
    <w:rsid w:val="00BD649C"/>
    <w:rsid w:val="00BE526C"/>
    <w:rsid w:val="00BE6D8C"/>
    <w:rsid w:val="00C02FBB"/>
    <w:rsid w:val="00C06CB4"/>
    <w:rsid w:val="00C12BC6"/>
    <w:rsid w:val="00C22151"/>
    <w:rsid w:val="00C37E57"/>
    <w:rsid w:val="00C37F80"/>
    <w:rsid w:val="00C45E60"/>
    <w:rsid w:val="00C46D60"/>
    <w:rsid w:val="00C4723B"/>
    <w:rsid w:val="00C74661"/>
    <w:rsid w:val="00C84C4E"/>
    <w:rsid w:val="00C84D3D"/>
    <w:rsid w:val="00C86BCB"/>
    <w:rsid w:val="00C94DC4"/>
    <w:rsid w:val="00CA30BE"/>
    <w:rsid w:val="00CA5C88"/>
    <w:rsid w:val="00CB4055"/>
    <w:rsid w:val="00CC56AF"/>
    <w:rsid w:val="00CD591D"/>
    <w:rsid w:val="00CE7232"/>
    <w:rsid w:val="00CF35C6"/>
    <w:rsid w:val="00CF519D"/>
    <w:rsid w:val="00D02E18"/>
    <w:rsid w:val="00D14635"/>
    <w:rsid w:val="00D16057"/>
    <w:rsid w:val="00D41A5B"/>
    <w:rsid w:val="00D61E04"/>
    <w:rsid w:val="00D67A18"/>
    <w:rsid w:val="00D70CF7"/>
    <w:rsid w:val="00D80C67"/>
    <w:rsid w:val="00D871E2"/>
    <w:rsid w:val="00D9077D"/>
    <w:rsid w:val="00D90860"/>
    <w:rsid w:val="00D9596D"/>
    <w:rsid w:val="00DA79FE"/>
    <w:rsid w:val="00DC3E15"/>
    <w:rsid w:val="00DE0E62"/>
    <w:rsid w:val="00DF0EBB"/>
    <w:rsid w:val="00E104E8"/>
    <w:rsid w:val="00E15A16"/>
    <w:rsid w:val="00E210F8"/>
    <w:rsid w:val="00E24B76"/>
    <w:rsid w:val="00E26475"/>
    <w:rsid w:val="00E319CE"/>
    <w:rsid w:val="00E36CA4"/>
    <w:rsid w:val="00E43B59"/>
    <w:rsid w:val="00E57BE2"/>
    <w:rsid w:val="00E6206C"/>
    <w:rsid w:val="00E71FC8"/>
    <w:rsid w:val="00E721B8"/>
    <w:rsid w:val="00E7277C"/>
    <w:rsid w:val="00E85A00"/>
    <w:rsid w:val="00E86DCF"/>
    <w:rsid w:val="00E87E97"/>
    <w:rsid w:val="00E91229"/>
    <w:rsid w:val="00E955D4"/>
    <w:rsid w:val="00EA339B"/>
    <w:rsid w:val="00EB71CD"/>
    <w:rsid w:val="00EC4466"/>
    <w:rsid w:val="00ED149A"/>
    <w:rsid w:val="00ED7EB8"/>
    <w:rsid w:val="00EF0DEE"/>
    <w:rsid w:val="00F01F2C"/>
    <w:rsid w:val="00F042A3"/>
    <w:rsid w:val="00F17817"/>
    <w:rsid w:val="00F2328B"/>
    <w:rsid w:val="00F27B35"/>
    <w:rsid w:val="00F34FEE"/>
    <w:rsid w:val="00F429DF"/>
    <w:rsid w:val="00F83246"/>
    <w:rsid w:val="00F93874"/>
    <w:rsid w:val="00F95BAE"/>
    <w:rsid w:val="00FA1604"/>
    <w:rsid w:val="00FA3395"/>
    <w:rsid w:val="00FC1CBD"/>
    <w:rsid w:val="00FD0294"/>
    <w:rsid w:val="00FD48AE"/>
    <w:rsid w:val="00FF3D81"/>
    <w:rsid w:val="00FF6B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05CC8"/>
  <w15:chartTrackingRefBased/>
  <w15:docId w15:val="{072C43E1-61E2-4CD8-B665-7BEFE51F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DDB"/>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247DDB"/>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247DDB"/>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247DDB"/>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247DDB"/>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247DDB"/>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247DDB"/>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247DDB"/>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40E0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247DDB"/>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247DDB"/>
    <w:pPr>
      <w:tabs>
        <w:tab w:val="center" w:pos="4153"/>
        <w:tab w:val="right" w:pos="8306"/>
      </w:tabs>
      <w:snapToGrid w:val="0"/>
      <w:spacing w:line="240" w:lineRule="atLeast"/>
    </w:pPr>
    <w:rPr>
      <w:szCs w:val="18"/>
    </w:rPr>
  </w:style>
  <w:style w:type="character" w:customStyle="1" w:styleId="FooterChar">
    <w:name w:val="Footer Char"/>
    <w:link w:val="Footer"/>
    <w:uiPriority w:val="99"/>
    <w:qFormat/>
    <w:rsid w:val="00247DDB"/>
    <w:rPr>
      <w:rFonts w:ascii="Palatino Linotype" w:hAnsi="Palatino Linotype"/>
      <w:noProof/>
      <w:color w:val="000000"/>
      <w:szCs w:val="18"/>
    </w:rPr>
  </w:style>
  <w:style w:type="paragraph" w:styleId="Header">
    <w:name w:val="header"/>
    <w:basedOn w:val="Normal"/>
    <w:link w:val="HeaderChar"/>
    <w:uiPriority w:val="99"/>
    <w:rsid w:val="00247DDB"/>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qFormat/>
    <w:rsid w:val="00247DDB"/>
    <w:rPr>
      <w:rFonts w:ascii="Palatino Linotype" w:hAnsi="Palatino Linotype"/>
      <w:noProof/>
      <w:color w:val="000000"/>
      <w:szCs w:val="18"/>
    </w:rPr>
  </w:style>
  <w:style w:type="paragraph" w:customStyle="1" w:styleId="MDPI32textnoindent">
    <w:name w:val="MDPI_3.2_text_no_indent"/>
    <w:basedOn w:val="MDPI31text"/>
    <w:qFormat/>
    <w:rsid w:val="00247DDB"/>
    <w:pPr>
      <w:ind w:firstLine="0"/>
    </w:pPr>
  </w:style>
  <w:style w:type="paragraph" w:customStyle="1" w:styleId="MDPI31text">
    <w:name w:val="MDPI_3.1_text"/>
    <w:qFormat/>
    <w:rsid w:val="00C37E5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247DDB"/>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247DDB"/>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247DDB"/>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247DDB"/>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313899"/>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313899"/>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247DDB"/>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247DDB"/>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247DDB"/>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70D0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247DDB"/>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247DDB"/>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247DDB"/>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247DDB"/>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247DDB"/>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247DDB"/>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247DDB"/>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247DDB"/>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9377F9"/>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247DDB"/>
    <w:rPr>
      <w:rFonts w:cs="Tahoma"/>
      <w:szCs w:val="18"/>
    </w:rPr>
  </w:style>
  <w:style w:type="character" w:customStyle="1" w:styleId="BalloonTextChar">
    <w:name w:val="Balloon Text Char"/>
    <w:link w:val="BalloonText"/>
    <w:uiPriority w:val="99"/>
    <w:rsid w:val="00247DDB"/>
    <w:rPr>
      <w:rFonts w:ascii="Palatino Linotype" w:hAnsi="Palatino Linotype" w:cs="Tahoma"/>
      <w:noProof/>
      <w:color w:val="000000"/>
      <w:szCs w:val="18"/>
    </w:rPr>
  </w:style>
  <w:style w:type="character" w:styleId="LineNumber">
    <w:name w:val="line number"/>
    <w:uiPriority w:val="99"/>
    <w:rsid w:val="00D41A5B"/>
    <w:rPr>
      <w:rFonts w:ascii="Palatino Linotype" w:hAnsi="Palatino Linotype"/>
      <w:sz w:val="16"/>
    </w:rPr>
  </w:style>
  <w:style w:type="table" w:customStyle="1" w:styleId="MDPI41threelinetable">
    <w:name w:val="MDPI_4.1_three_line_table"/>
    <w:basedOn w:val="TableNormal"/>
    <w:uiPriority w:val="99"/>
    <w:rsid w:val="00247DDB"/>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247DDB"/>
    <w:rPr>
      <w:color w:val="0000FF"/>
      <w:u w:val="single"/>
    </w:rPr>
  </w:style>
  <w:style w:type="character" w:styleId="UnresolvedMention">
    <w:name w:val="Unresolved Mention"/>
    <w:uiPriority w:val="99"/>
    <w:semiHidden/>
    <w:unhideWhenUsed/>
    <w:rsid w:val="005D35E8"/>
    <w:rPr>
      <w:color w:val="605E5C"/>
      <w:shd w:val="clear" w:color="auto" w:fill="E1DFDD"/>
    </w:rPr>
  </w:style>
  <w:style w:type="table" w:styleId="PlainTable4">
    <w:name w:val="Plain Table 4"/>
    <w:basedOn w:val="TableNormal"/>
    <w:uiPriority w:val="44"/>
    <w:rsid w:val="000E53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247DDB"/>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247DDB"/>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247DDB"/>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B5CD6"/>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247DDB"/>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247DDB"/>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618D3"/>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247DDB"/>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247DDB"/>
  </w:style>
  <w:style w:type="paragraph" w:styleId="Bibliography">
    <w:name w:val="Bibliography"/>
    <w:basedOn w:val="Normal"/>
    <w:next w:val="Normal"/>
    <w:uiPriority w:val="37"/>
    <w:semiHidden/>
    <w:unhideWhenUsed/>
    <w:rsid w:val="00247DDB"/>
  </w:style>
  <w:style w:type="paragraph" w:styleId="BodyText">
    <w:name w:val="Body Text"/>
    <w:link w:val="BodyTextChar"/>
    <w:rsid w:val="00247DDB"/>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247DDB"/>
    <w:rPr>
      <w:rFonts w:ascii="Palatino Linotype" w:hAnsi="Palatino Linotype"/>
      <w:color w:val="000000"/>
      <w:sz w:val="24"/>
      <w:lang w:eastAsia="de-DE"/>
    </w:rPr>
  </w:style>
  <w:style w:type="character" w:styleId="CommentReference">
    <w:name w:val="annotation reference"/>
    <w:rsid w:val="00247DDB"/>
    <w:rPr>
      <w:sz w:val="21"/>
      <w:szCs w:val="21"/>
    </w:rPr>
  </w:style>
  <w:style w:type="paragraph" w:styleId="CommentText">
    <w:name w:val="annotation text"/>
    <w:basedOn w:val="Normal"/>
    <w:link w:val="CommentTextChar"/>
    <w:rsid w:val="00247DDB"/>
  </w:style>
  <w:style w:type="character" w:customStyle="1" w:styleId="CommentTextChar">
    <w:name w:val="Comment Text Char"/>
    <w:link w:val="CommentText"/>
    <w:rsid w:val="00247DDB"/>
    <w:rPr>
      <w:rFonts w:ascii="Palatino Linotype" w:hAnsi="Palatino Linotype"/>
      <w:noProof/>
      <w:color w:val="000000"/>
    </w:rPr>
  </w:style>
  <w:style w:type="paragraph" w:styleId="CommentSubject">
    <w:name w:val="annotation subject"/>
    <w:basedOn w:val="CommentText"/>
    <w:next w:val="CommentText"/>
    <w:link w:val="CommentSubjectChar"/>
    <w:rsid w:val="00247DDB"/>
    <w:rPr>
      <w:b/>
      <w:bCs/>
    </w:rPr>
  </w:style>
  <w:style w:type="character" w:customStyle="1" w:styleId="CommentSubjectChar">
    <w:name w:val="Comment Subject Char"/>
    <w:link w:val="CommentSubject"/>
    <w:rsid w:val="00247DDB"/>
    <w:rPr>
      <w:rFonts w:ascii="Palatino Linotype" w:hAnsi="Palatino Linotype"/>
      <w:b/>
      <w:bCs/>
      <w:noProof/>
      <w:color w:val="000000"/>
    </w:rPr>
  </w:style>
  <w:style w:type="character" w:styleId="EndnoteReference">
    <w:name w:val="endnote reference"/>
    <w:rsid w:val="00247DDB"/>
    <w:rPr>
      <w:vertAlign w:val="superscript"/>
    </w:rPr>
  </w:style>
  <w:style w:type="paragraph" w:styleId="EndnoteText">
    <w:name w:val="endnote text"/>
    <w:basedOn w:val="Normal"/>
    <w:link w:val="EndnoteTextChar"/>
    <w:semiHidden/>
    <w:unhideWhenUsed/>
    <w:rsid w:val="00247DDB"/>
    <w:pPr>
      <w:spacing w:line="240" w:lineRule="auto"/>
    </w:pPr>
  </w:style>
  <w:style w:type="character" w:customStyle="1" w:styleId="EndnoteTextChar">
    <w:name w:val="Endnote Text Char"/>
    <w:link w:val="EndnoteText"/>
    <w:semiHidden/>
    <w:rsid w:val="00247DDB"/>
    <w:rPr>
      <w:rFonts w:ascii="Palatino Linotype" w:hAnsi="Palatino Linotype"/>
      <w:noProof/>
      <w:color w:val="000000"/>
    </w:rPr>
  </w:style>
  <w:style w:type="character" w:styleId="FollowedHyperlink">
    <w:name w:val="FollowedHyperlink"/>
    <w:rsid w:val="00247DDB"/>
    <w:rPr>
      <w:color w:val="954F72"/>
      <w:u w:val="single"/>
    </w:rPr>
  </w:style>
  <w:style w:type="paragraph" w:styleId="FootnoteText">
    <w:name w:val="footnote text"/>
    <w:basedOn w:val="Normal"/>
    <w:link w:val="FootnoteTextChar"/>
    <w:semiHidden/>
    <w:unhideWhenUsed/>
    <w:rsid w:val="00247DDB"/>
    <w:pPr>
      <w:spacing w:line="240" w:lineRule="auto"/>
    </w:pPr>
  </w:style>
  <w:style w:type="character" w:customStyle="1" w:styleId="FootnoteTextChar">
    <w:name w:val="Footnote Text Char"/>
    <w:link w:val="FootnoteText"/>
    <w:semiHidden/>
    <w:qFormat/>
    <w:rsid w:val="00247DDB"/>
    <w:rPr>
      <w:rFonts w:ascii="Palatino Linotype" w:hAnsi="Palatino Linotype"/>
      <w:noProof/>
      <w:color w:val="000000"/>
    </w:rPr>
  </w:style>
  <w:style w:type="paragraph" w:styleId="NormalWeb">
    <w:name w:val="Normal (Web)"/>
    <w:basedOn w:val="Normal"/>
    <w:uiPriority w:val="99"/>
    <w:rsid w:val="00247DDB"/>
    <w:rPr>
      <w:szCs w:val="24"/>
    </w:rPr>
  </w:style>
  <w:style w:type="paragraph" w:customStyle="1" w:styleId="MsoFootnoteText0">
    <w:name w:val="MsoFootnoteText"/>
    <w:basedOn w:val="NormalWeb"/>
    <w:qFormat/>
    <w:rsid w:val="00247DDB"/>
    <w:rPr>
      <w:rFonts w:ascii="Times New Roman" w:hAnsi="Times New Roman"/>
    </w:rPr>
  </w:style>
  <w:style w:type="character" w:styleId="PageNumber">
    <w:name w:val="page number"/>
    <w:rsid w:val="00247DDB"/>
  </w:style>
  <w:style w:type="character" w:styleId="PlaceholderText">
    <w:name w:val="Placeholder Text"/>
    <w:uiPriority w:val="99"/>
    <w:semiHidden/>
    <w:rsid w:val="00247DDB"/>
    <w:rPr>
      <w:color w:val="808080"/>
    </w:rPr>
  </w:style>
  <w:style w:type="paragraph" w:customStyle="1" w:styleId="MDPI71footnotes">
    <w:name w:val="MDPI_7.1_footnotes"/>
    <w:qFormat/>
    <w:rsid w:val="002A6DB9"/>
    <w:pPr>
      <w:numPr>
        <w:numId w:val="17"/>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0A1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ljarallah@mnc.edu.sa" TargetMode="External"/><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adotta@um.edu.sa" TargetMode="Externa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otta@um.edu.sa"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31</Pages>
  <Words>16033</Words>
  <Characters>91392</Characters>
  <DocSecurity>0</DocSecurity>
  <Lines>761</Lines>
  <Paragraphs>214</Paragraphs>
  <ScaleCrop>false</ScaleCrop>
  <HeadingPairs>
    <vt:vector size="2" baseType="variant">
      <vt:variant>
        <vt:lpstr>Title</vt:lpstr>
      </vt:variant>
      <vt:variant>
        <vt:i4>1</vt:i4>
      </vt:variant>
    </vt:vector>
  </HeadingPairs>
  <TitlesOfParts>
    <vt:vector size="1" baseType="lpstr">
      <vt:lpstr>Speech and Braille Technologies for School-Age Children and Adolescents with Disabilities: A Function-Stratified Synthesis and Evidence Map of Learner-Level Outcomes</vt:lpstr>
    </vt:vector>
  </TitlesOfParts>
  <Company/>
  <LinksUpToDate>false</LinksUpToDate>
  <CharactersWithSpaces>107211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terms:created xsi:type="dcterms:W3CDTF">2026-08-23T19:55:00Z</dcterms:created>
  <dcterms:modified xsi:type="dcterms:W3CDTF">2026-09-21T22:51:00Z</dcterms:modified>
</cp:coreProperties>
</file>