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Palatino Linotype" w:hAnsi="Palatino Linotype"/>
          <w:sz w:val="21"/>
        </w:rPr>
        <w:t>26 September 2026</w:t>
      </w:r>
    </w:p>
    <w:p>
      <w:pPr>
        <w:jc w:val="both"/>
      </w:pPr>
      <w:r>
        <w:rPr>
          <w:rFonts w:ascii="Palatino Linotype" w:hAnsi="Palatino Linotype"/>
          <w:sz w:val="21"/>
        </w:rPr>
        <w:t>Editor-in-Chief and Editorial Board</w:t>
      </w:r>
    </w:p>
    <w:p>
      <w:pPr>
        <w:jc w:val="both"/>
      </w:pPr>
      <w:r>
        <w:rPr>
          <w:rFonts w:ascii="Palatino Linotype" w:hAnsi="Palatino Linotype"/>
          <w:i/>
          <w:sz w:val="21"/>
        </w:rPr>
        <w:t>Healthcare</w:t>
      </w:r>
      <w:r>
        <w:rPr>
          <w:rFonts w:ascii="Palatino Linotype" w:hAnsi="Palatino Linotype"/>
          <w:sz w:val="21"/>
        </w:rPr>
        <w:t xml:space="preserve"> (MDPI)</w:t>
      </w:r>
    </w:p>
    <w:p>
      <w:pPr>
        <w:jc w:val="both"/>
      </w:pPr>
      <w:r>
        <w:rPr>
          <w:rFonts w:ascii="Palatino Linotype" w:hAnsi="Palatino Linotype"/>
          <w:sz w:val="21"/>
        </w:rPr>
        <w:t>Dear Editor,</w:t>
      </w:r>
    </w:p>
    <w:p>
      <w:pPr>
        <w:jc w:val="both"/>
      </w:pPr>
      <w:r>
        <w:rPr>
          <w:rFonts w:ascii="Palatino Linotype" w:hAnsi="Palatino Linotype"/>
          <w:sz w:val="21"/>
        </w:rPr>
        <w:t xml:space="preserve">We submit our systematic review, “Assistive Speech and Braille Technologies for Children and Adolescents with Disabilities: A Systematic Review of Reading, Writing, and Learning Outcomes,” for consideration as a Systematic Review in </w:t>
      </w:r>
      <w:r>
        <w:rPr>
          <w:rFonts w:ascii="Palatino Linotype" w:hAnsi="Palatino Linotype"/>
          <w:i/>
          <w:sz w:val="21"/>
        </w:rPr>
        <w:t>Healthcare</w:t>
      </w:r>
      <w:r>
        <w:rPr>
          <w:rFonts w:ascii="Palatino Linotype" w:hAnsi="Palatino Linotype"/>
          <w:sz w:val="21"/>
        </w:rPr>
        <w:t>.</w:t>
      </w:r>
    </w:p>
    <w:p>
      <w:pPr>
        <w:spacing w:before="160"/>
      </w:pPr>
      <w:r>
        <w:rPr>
          <w:rFonts w:ascii="Palatino Linotype" w:hAnsi="Palatino Linotype"/>
          <w:b/>
          <w:sz w:val="22"/>
        </w:rPr>
        <w:t>Why this review matters</w:t>
      </w:r>
    </w:p>
    <w:p>
      <w:pPr>
        <w:jc w:val="both"/>
      </w:pPr>
      <w:r>
        <w:rPr>
          <w:rFonts w:ascii="Palatino Linotype" w:hAnsi="Palatino Linotype"/>
          <w:sz w:val="21"/>
        </w:rPr>
        <w:t>Almost one child in ten, about 240 million worldwide, lives with a disability, and World Health Assembly resolution WHA71.8 commits health systems to improving access to assistive technology as part of universal health coverage. Speech-to-text, text-to-speech, automatic captioning, and AI-assisted Braille tools are now prescribed and procured at scale for children with dyslexia, intellectual disability, hearing loss, and visual impairment, but these decisions often rest on technical accuracy rather than on evidence about the child’s functioning. Rehabilitation professionals, school health teams, and assistive-technology services need to know what functional benefit to expect, for whom, and with what confidence.</w:t>
      </w:r>
    </w:p>
    <w:p>
      <w:pPr>
        <w:spacing w:before="160"/>
      </w:pPr>
      <w:r>
        <w:rPr>
          <w:rFonts w:ascii="Palatino Linotype" w:hAnsi="Palatino Linotype"/>
          <w:b/>
          <w:sz w:val="22"/>
        </w:rPr>
        <w:t>What the review adds</w:t>
      </w:r>
    </w:p>
    <w:p>
      <w:pPr>
        <w:pStyle w:val="ListBullet"/>
      </w:pPr>
      <w:r>
        <w:rPr>
          <w:rFonts w:ascii="Palatino Linotype" w:hAnsi="Palatino Linotype"/>
          <w:sz w:val="21"/>
        </w:rPr>
        <w:t>To our knowledge, it is the first review to evaluate all five speech and Braille functions within one outcome framework mapped to the WHO International Classification of Functioning, Disability and Health for Children and Youth (ICF-CY), and it presents the result as an evidence and gap map.</w:t>
      </w:r>
    </w:p>
    <w:p>
      <w:pPr>
        <w:pStyle w:val="ListBullet"/>
      </w:pPr>
      <w:r>
        <w:rPr>
          <w:rFonts w:ascii="Palatino Linotype" w:hAnsi="Palatino Linotype"/>
          <w:sz w:val="21"/>
        </w:rPr>
        <w:t xml:space="preserve">It separates </w:t>
      </w:r>
      <w:r>
        <w:rPr>
          <w:rFonts w:ascii="Palatino Linotype" w:hAnsi="Palatino Linotype"/>
          <w:b/>
          <w:sz w:val="21"/>
        </w:rPr>
        <w:t>access</w:t>
      </w:r>
      <w:r>
        <w:rPr>
          <w:rFonts w:ascii="Palatino Linotype" w:hAnsi="Palatino Linotype"/>
          <w:sz w:val="21"/>
        </w:rPr>
        <w:t xml:space="preserve"> effects (performance while the technology is in use) from </w:t>
      </w:r>
      <w:r>
        <w:rPr>
          <w:rFonts w:ascii="Palatino Linotype" w:hAnsi="Palatino Linotype"/>
          <w:b/>
          <w:sz w:val="21"/>
        </w:rPr>
        <w:t>learning</w:t>
      </w:r>
      <w:r>
        <w:rPr>
          <w:rFonts w:ascii="Palatino Linotype" w:hAnsi="Palatino Linotype"/>
          <w:sz w:val="21"/>
        </w:rPr>
        <w:t xml:space="preserve"> effects (skills that persist without it). This distinction reveals a clear and practically important pattern. Text-to-speech reliably reduced reading time and effort, and speech-to-text increased text length and reduced residual errors, whereas every favourable effect on durable skills or attainment came from studies at high or serious risk of bias.</w:t>
      </w:r>
    </w:p>
    <w:p>
      <w:pPr>
        <w:pStyle w:val="ListBullet"/>
      </w:pPr>
      <w:r>
        <w:rPr>
          <w:rFonts w:ascii="Palatino Linotype" w:hAnsi="Palatino Linotype"/>
          <w:sz w:val="21"/>
        </w:rPr>
        <w:t>It applies design-specific appraisal to randomised, non-randomised, and single-case studies (RoB 2, ROBINS-I, and What Works Clearinghouse standards), grades certainty with GRADE, and displays all 27 reports in an effect-direction plot.</w:t>
      </w:r>
    </w:p>
    <w:p>
      <w:pPr>
        <w:pStyle w:val="ListBullet"/>
      </w:pPr>
      <w:r>
        <w:rPr>
          <w:rFonts w:ascii="Palatino Linotype" w:hAnsi="Palatino Linotype"/>
          <w:sz w:val="21"/>
        </w:rPr>
        <w:t>It translates the findings into a five-step monitored-trial approach for practitioners and a prioritised research agenda. It also identifies two functions, automatic classroom captioning and optical Braille recognition, that have no learner-level evaluation at all, and notes that 24 of 27 reports came from high-income countries.</w:t>
      </w:r>
    </w:p>
    <w:p>
      <w:pPr>
        <w:spacing w:before="160"/>
      </w:pPr>
      <w:r>
        <w:rPr>
          <w:rFonts w:ascii="Palatino Linotype" w:hAnsi="Palatino Linotype"/>
          <w:b/>
          <w:sz w:val="22"/>
        </w:rPr>
        <w:t>Fit with Healthcare</w:t>
      </w:r>
    </w:p>
    <w:p>
      <w:pPr>
        <w:jc w:val="both"/>
      </w:pPr>
      <w:r>
        <w:rPr>
          <w:rFonts w:ascii="Palatino Linotype" w:hAnsi="Palatino Linotype"/>
          <w:sz w:val="21"/>
        </w:rPr>
        <w:t>The review addresses assistive-technology provision, paediatric rehabilitation, and digital health technology, and it has direct implications for service delivery, commissioning, and health equity. We believe it will interest readers working in rehabilitation, school health, digital health, and health policy.</w:t>
      </w:r>
    </w:p>
    <w:p>
      <w:pPr>
        <w:spacing w:before="160"/>
      </w:pPr>
      <w:r>
        <w:rPr>
          <w:rFonts w:ascii="Palatino Linotype" w:hAnsi="Palatino Linotype"/>
          <w:b/>
          <w:sz w:val="22"/>
        </w:rPr>
        <w:t>Rigour and transparency</w:t>
      </w:r>
    </w:p>
    <w:p>
      <w:pPr>
        <w:jc w:val="both"/>
      </w:pPr>
      <w:r>
        <w:rPr>
          <w:rFonts w:ascii="Palatino Linotype" w:hAnsi="Palatino Linotype"/>
          <w:sz w:val="21"/>
        </w:rPr>
        <w:t>The review was prospectively registered (PROSPERO CRD420261513927) and is reported according to PRISMA 2020, PRISMA-S, and SWiM; the completed PRISMA 2020 checklist, including the checklist for abstracts, is provided. All extraction, appraisal, certainty, and effect-direction coding tables are included as Supplementary Materials. Limitations are stated plainly in the manuscript, including single-reviewer screening, extraction, and appraisal, and the search sources that were not covered.</w:t>
      </w:r>
    </w:p>
    <w:p>
      <w:pPr>
        <w:spacing w:before="160"/>
      </w:pPr>
      <w:r>
        <w:rPr>
          <w:rFonts w:ascii="Palatino Linotype" w:hAnsi="Palatino Linotype"/>
          <w:b/>
          <w:sz w:val="22"/>
        </w:rPr>
        <w:t>Declarations</w:t>
      </w:r>
    </w:p>
    <w:p>
      <w:pPr>
        <w:jc w:val="both"/>
      </w:pPr>
      <w:r>
        <w:rPr>
          <w:rFonts w:ascii="Palatino Linotype" w:hAnsi="Palatino Linotype"/>
          <w:sz w:val="21"/>
        </w:rPr>
        <w:t xml:space="preserve">The manuscript is original, has not been published, and is not under consideration elsewhere. An earlier version was submitted to </w:t>
      </w:r>
      <w:r>
        <w:rPr>
          <w:rFonts w:ascii="Palatino Linotype" w:hAnsi="Palatino Linotype"/>
          <w:i/>
          <w:sz w:val="21"/>
        </w:rPr>
        <w:t>Children</w:t>
      </w:r>
      <w:r>
        <w:rPr>
          <w:rFonts w:ascii="Palatino Linotype" w:hAnsi="Palatino Linotype"/>
          <w:sz w:val="21"/>
        </w:rPr>
        <w:t xml:space="preserve"> (MDPI) and was declined without external review; it has since been substantially restructured and reframed for a health and rehabilitation readership. Both authors approved the submission. Ethics approval was not required because the review used published aggregate data. The work was funded by the King Salman Center for Disability Research (KSCDR-ERC-2024-01). The authors declare no conflicts of interest. The use of a generative AI tool in preparing the manuscript is disclosed in the Acknowledgments.</w:t>
      </w:r>
    </w:p>
    <w:p>
      <w:pPr>
        <w:jc w:val="both"/>
      </w:pPr>
      <w:r>
        <w:rPr>
          <w:rFonts w:ascii="Palatino Linotype" w:hAnsi="Palatino Linotype"/>
          <w:sz w:val="21"/>
        </w:rPr>
        <w:t>Thank you for considering our manuscript.</w:t>
      </w:r>
    </w:p>
    <w:p>
      <w:pPr>
        <w:jc w:val="both"/>
      </w:pPr>
      <w:r>
        <w:rPr>
          <w:rFonts w:ascii="Palatino Linotype" w:hAnsi="Palatino Linotype"/>
          <w:sz w:val="21"/>
        </w:rPr>
        <w:t>Sincerely,</w:t>
      </w:r>
    </w:p>
    <w:p>
      <w:r>
        <w:rPr>
          <w:rFonts w:ascii="Palatino Linotype" w:hAnsi="Palatino Linotype"/>
          <w:b/>
          <w:sz w:val="21"/>
        </w:rPr>
        <w:t>Ashit Kumar Dutta (corresponding author), on behalf of Ashit Kumar Dutta and Nasser Ali Aljarallah</w:t>
      </w:r>
    </w:p>
    <w:p>
      <w:pPr>
        <w:jc w:val="both"/>
      </w:pPr>
      <w:r>
        <w:rPr>
          <w:rFonts w:ascii="Palatino Linotype" w:hAnsi="Palatino Linotype"/>
          <w:sz w:val="21"/>
        </w:rPr>
        <w:t>Department of Computer Science and Information Systems, College of Medical Sciences, AlMaarefa University, Riyadh, Saudi Arabia; King Salman Center for Disability Research, Riyadh, Saudi Arabia</w:t>
      </w:r>
    </w:p>
    <w:p>
      <w:pPr>
        <w:jc w:val="both"/>
      </w:pPr>
      <w:r>
        <w:rPr>
          <w:rFonts w:ascii="Palatino Linotype" w:hAnsi="Palatino Linotype"/>
          <w:sz w:val="21"/>
        </w:rPr>
        <w:t>Email: adotta@um.edu.sa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Palatino Linotype" w:hAnsi="Palatino Linotype" w:eastAsia="Palatino Linotyp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