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Revision</w:t>
      </w:r>
      <w:r>
        <w:t xml:space="preserve"> </w:t>
      </w:r>
      <w:r>
        <w:t xml:space="preserve">Report</w:t>
      </w:r>
      <w:r>
        <w:t xml:space="preserve"> </w:t>
      </w:r>
      <w:r>
        <w:t xml:space="preserve">and</w:t>
      </w:r>
      <w:r>
        <w:t xml:space="preserve"> </w:t>
      </w:r>
      <w:r>
        <w:t xml:space="preserve">Pre-Submission</w:t>
      </w:r>
      <w:r>
        <w:t xml:space="preserve"> </w:t>
      </w:r>
      <w:r>
        <w:t xml:space="preserve">Checklist</w:t>
      </w:r>
    </w:p>
    <w:p>
      <w:pPr>
        <w:pStyle w:val="FirstParagraph"/>
      </w:pPr>
      <w:r>
        <w:rPr>
          <w:bCs/>
          <w:b/>
        </w:rPr>
        <w:t xml:space="preserve">Manuscript:</w:t>
      </w:r>
      <w:r>
        <w:t xml:space="preserve"> </w:t>
      </w:r>
      <w:r>
        <w:t xml:space="preserve">The Burden of Proof: Unit-Level Nurse Managers’ Judgements and Responses to Nurses’ Care Concerns When Quality Indicators Appear Reassuring—An Interpretive Description</w:t>
      </w:r>
    </w:p>
    <w:p>
      <w:pPr>
        <w:pStyle w:val="BodyText"/>
      </w:pPr>
      <w:r>
        <w:rPr>
          <w:bCs/>
          <w:b/>
        </w:rPr>
        <w:t xml:space="preserve">Target journal:</w:t>
      </w:r>
      <w:r>
        <w:t xml:space="preserve"> </w:t>
      </w:r>
      <w:r>
        <w:rPr>
          <w:iCs/>
          <w:i/>
        </w:rPr>
        <w:t xml:space="preserve">Applied Nursing Research</w:t>
      </w:r>
      <w:r>
        <w:t xml:space="preserve"> </w:t>
      </w:r>
      <w:r>
        <w:t xml:space="preserve">(Elsevier)</w:t>
      </w:r>
    </w:p>
    <w:bookmarkStart w:id="20" w:name="Xa9880ee803156cb225b3c2c4219a5dab87bfcdf"/>
    <w:p>
      <w:pPr>
        <w:pStyle w:val="Heading1"/>
      </w:pPr>
      <w:r>
        <w:t xml:space="preserve">1. Items the authors must complete or confirm before submission</w:t>
      </w:r>
    </w:p>
    <w:p>
      <w:pPr>
        <w:pStyle w:val="Compact"/>
        <w:numPr>
          <w:ilvl w:val="0"/>
          <w:numId w:val="1001"/>
        </w:numPr>
      </w:pPr>
      <w:r>
        <w:rPr>
          <w:bCs/>
          <w:b/>
        </w:rPr>
        <w:t xml:space="preserve">Author details.</w:t>
      </w:r>
      <w:r>
        <w:t xml:space="preserve"> </w:t>
      </w:r>
      <w:r>
        <w:t xml:space="preserve">Replace all bracketed placeholders on the Title Page and Cover Letter (names, affiliations, ORCIDs, corresponding author). Confirm or amend the CRediT roles, which were inferred from the roles described in Methods.</w:t>
      </w:r>
    </w:p>
    <w:p>
      <w:pPr>
        <w:pStyle w:val="Compact"/>
        <w:numPr>
          <w:ilvl w:val="0"/>
          <w:numId w:val="1001"/>
        </w:numPr>
      </w:pPr>
      <w:r>
        <w:rPr>
          <w:bCs/>
          <w:b/>
        </w:rPr>
        <w:t xml:space="preserve">Confidentiality wording in the interview script.</w:t>
      </w:r>
      <w:r>
        <w:t xml:space="preserve"> </w:t>
      </w:r>
      <w:r>
        <w:t xml:space="preserve">Supplementary File 1 reproduces the opening script as administered: it calls the safety-response procedure a</w:t>
      </w:r>
      <w:r>
        <w:t xml:space="preserve"> </w:t>
      </w:r>
      <w:r>
        <w:t xml:space="preserve">“</w:t>
      </w:r>
      <w:r>
        <w:t xml:space="preserve">limit to confidentiality</w:t>
      </w:r>
      <w:r>
        <w:t xml:space="preserve">”</w:t>
      </w:r>
      <w:r>
        <w:t xml:space="preserve">, whereas the approved consent documents specify</w:t>
      </w:r>
      <w:r>
        <w:t xml:space="preserve"> </w:t>
      </w:r>
      <w:r>
        <w:rPr>
          <w:iCs/>
          <w:i/>
        </w:rPr>
        <w:t xml:space="preserve">no</w:t>
      </w:r>
      <w:r>
        <w:t xml:space="preserve"> </w:t>
      </w:r>
      <w:r>
        <w:t xml:space="preserve">exceptions to confidentiality. The note beneath the script now explains this consistently with the manuscript and Supplementary File 3. Please confirm that the script was worded this way in practice. If it was, consider telling the IRB about the discrepancy before submission; reviewers who check supplementary files may notice it.</w:t>
      </w:r>
    </w:p>
    <w:p>
      <w:pPr>
        <w:pStyle w:val="Compact"/>
        <w:numPr>
          <w:ilvl w:val="0"/>
          <w:numId w:val="1001"/>
        </w:numPr>
      </w:pPr>
      <w:r>
        <w:rPr>
          <w:bCs/>
          <w:b/>
        </w:rPr>
        <w:t xml:space="preserve">Page limit.</w:t>
      </w:r>
      <w:r>
        <w:t xml:space="preserve"> </w:t>
      </w:r>
      <w:r>
        <w:t xml:space="preserve">Search results indicate a limit of 20 pages, including references and tables, for original articles. Please verify this on the journal’s current Guide for Authors (it could not be opened from the editing environment). The revised manuscript is about 5,900 words, cut from about 7,300, and runs to 33 pages double-spaced with line numbers. If the limit still applies, ask the editorial office whether it refers to typeset pages, or reduce further (Section 4.3 and the reference list are the safest places to cut).</w:t>
      </w:r>
    </w:p>
    <w:p>
      <w:pPr>
        <w:pStyle w:val="Compact"/>
        <w:numPr>
          <w:ilvl w:val="0"/>
          <w:numId w:val="1001"/>
        </w:numPr>
      </w:pPr>
      <w:r>
        <w:rPr>
          <w:bCs/>
          <w:b/>
        </w:rPr>
        <w:t xml:space="preserve">Anonymised review.</w:t>
      </w:r>
      <w:r>
        <w:t xml:space="preserve"> </w:t>
      </w:r>
      <w:r>
        <w:t xml:space="preserve">The manuscript file contains no author names. The ethics section names the approving IRB. If the journal’s anonymised-review instructions require it, replace that sentence in the manuscript with</w:t>
      </w:r>
      <w:r>
        <w:t xml:space="preserve"> </w:t>
      </w:r>
      <w:r>
        <w:t xml:space="preserve">“</w:t>
      </w:r>
      <w:r>
        <w:t xml:space="preserve">[Ethics committee details removed for anonymised review]</w:t>
      </w:r>
      <w:r>
        <w:t xml:space="preserve">”</w:t>
      </w:r>
      <w:r>
        <w:t xml:space="preserve"> </w:t>
      </w:r>
      <w:r>
        <w:t xml:space="preserve">and leave the full details on the Title Page.</w:t>
      </w:r>
    </w:p>
    <w:p>
      <w:pPr>
        <w:pStyle w:val="Compact"/>
        <w:numPr>
          <w:ilvl w:val="0"/>
          <w:numId w:val="1001"/>
        </w:numPr>
      </w:pPr>
      <w:r>
        <w:rPr>
          <w:bCs/>
          <w:b/>
        </w:rPr>
        <w:t xml:space="preserve">AI declaration.</w:t>
      </w:r>
      <w:r>
        <w:t xml:space="preserve"> </w:t>
      </w:r>
      <w:r>
        <w:t xml:space="preserve">Elsevier requires authors to declare AI-assisted writing. A declaration in Elsevier’s standard wording is on the Title Page. Keep it unless the journal requests another form. The separate statement that no AI tools were used to handle or analyse research data is retained and should be accurate.</w:t>
      </w:r>
    </w:p>
    <w:p>
      <w:pPr>
        <w:pStyle w:val="Compact"/>
        <w:numPr>
          <w:ilvl w:val="0"/>
          <w:numId w:val="1001"/>
        </w:numPr>
      </w:pPr>
      <w:r>
        <w:rPr>
          <w:bCs/>
          <w:b/>
        </w:rPr>
        <w:t xml:space="preserve">New references.</w:t>
      </w:r>
      <w:r>
        <w:t xml:space="preserve"> </w:t>
      </w:r>
      <w:r>
        <w:t xml:space="preserve">Three well-established sources were added to strengthen the theoretical argument: Bevan and Hood (2006), Francis (2013) and Fricker (2007). Please confirm that you are comfortable citing them. Harton and Skemp (2024) was removed because the tightened Introduction no longer needed it.</w:t>
      </w:r>
    </w:p>
    <w:bookmarkEnd w:id="20"/>
    <w:bookmarkStart w:id="23" w:name="main-revisions-and-their-rationale"/>
    <w:p>
      <w:pPr>
        <w:pStyle w:val="Heading1"/>
      </w:pPr>
      <w:r>
        <w:t xml:space="preserve">2. Main revisions and their rationale</w:t>
      </w:r>
    </w:p>
    <w:bookmarkStart w:id="21" w:name="mismatches-and-consistency-fixes"/>
    <w:p>
      <w:pPr>
        <w:pStyle w:val="Heading2"/>
      </w:pPr>
      <w:r>
        <w:t xml:space="preserve">2.1 Mismatches and consistency fixes</w:t>
      </w:r>
    </w:p>
    <w:p>
      <w:pPr>
        <w:pStyle w:val="Compact"/>
        <w:numPr>
          <w:ilvl w:val="0"/>
          <w:numId w:val="1002"/>
        </w:numPr>
      </w:pPr>
      <w:r>
        <w:rPr>
          <w:bCs/>
          <w:b/>
        </w:rPr>
        <w:t xml:space="preserve">Participant characteristics (Table 1 and Section 3.1).</w:t>
      </w:r>
      <w:r>
        <w:t xml:space="preserve"> </w:t>
      </w:r>
      <w:r>
        <w:t xml:space="preserve">Cells containing one or two participants (age ≥55; diploma; doctorate; Jordan as country of education) could identify individuals within a small regional population of 38 managers. These cells were combined, and the manuscript text, SRQR/COREQ map (COREQ item 16) and Supplementary File 3 (Table S3.7) were updated to match. Duplicated nationality/education rows were merged.</w:t>
      </w:r>
    </w:p>
    <w:p>
      <w:pPr>
        <w:pStyle w:val="Compact"/>
        <w:numPr>
          <w:ilvl w:val="0"/>
          <w:numId w:val="1002"/>
        </w:numPr>
      </w:pPr>
      <w:r>
        <w:rPr>
          <w:bCs/>
          <w:b/>
        </w:rPr>
        <w:t xml:space="preserve">Sampling description.</w:t>
      </w:r>
      <w:r>
        <w:t xml:space="preserve"> </w:t>
      </w:r>
      <w:r>
        <w:t xml:space="preserve">All 38 eligible managers received the same invitation, so</w:t>
      </w:r>
      <w:r>
        <w:t xml:space="preserve"> </w:t>
      </w:r>
      <w:r>
        <w:t xml:space="preserve">“</w:t>
      </w:r>
      <w:r>
        <w:t xml:space="preserve">analytically informed</w:t>
      </w:r>
      <w:r>
        <w:t xml:space="preserve">”</w:t>
      </w:r>
      <w:r>
        <w:t xml:space="preserve"> </w:t>
      </w:r>
      <w:r>
        <w:t xml:space="preserve">sampling could only mean sequencing interviews among volunteers. Section 2.3 and SRQR S8 and COREQ item 10 now say this explicitly, removing a contradiction a reviewer could raise.</w:t>
      </w:r>
    </w:p>
    <w:p>
      <w:pPr>
        <w:pStyle w:val="Compact"/>
        <w:numPr>
          <w:ilvl w:val="0"/>
          <w:numId w:val="1002"/>
        </w:numPr>
      </w:pPr>
      <w:r>
        <w:rPr>
          <w:bCs/>
          <w:b/>
        </w:rPr>
        <w:t xml:space="preserve">Confidentiality script note</w:t>
      </w:r>
      <w:r>
        <w:t xml:space="preserve"> </w:t>
      </w:r>
      <w:r>
        <w:t xml:space="preserve">(Supplementary File 1, S1.3): rewritten for clarity and cross-referenced (see item 1.2).</w:t>
      </w:r>
    </w:p>
    <w:p>
      <w:pPr>
        <w:pStyle w:val="Compact"/>
        <w:numPr>
          <w:ilvl w:val="0"/>
          <w:numId w:val="1002"/>
        </w:numPr>
      </w:pPr>
      <w:r>
        <w:rPr>
          <w:bCs/>
          <w:b/>
        </w:rPr>
        <w:t xml:space="preserve">Cross-references.</w:t>
      </w:r>
      <w:r>
        <w:t xml:space="preserve"> </w:t>
      </w:r>
      <w:r>
        <w:t xml:space="preserve">Section numbers were preserved (2.1–2.9; 3.1–3.8; 4.1–4.5) so every location cited in Supplementary Files 1–3 remains correct. New references to Figure 1 were added to SRQR S16 and COREQ item 31.</w:t>
      </w:r>
    </w:p>
    <w:p>
      <w:pPr>
        <w:pStyle w:val="Compact"/>
        <w:numPr>
          <w:ilvl w:val="0"/>
          <w:numId w:val="1002"/>
        </w:numPr>
      </w:pPr>
      <w:r>
        <w:rPr>
          <w:bCs/>
          <w:b/>
        </w:rPr>
        <w:t xml:space="preserve">Wording strength.</w:t>
      </w:r>
      <w:r>
        <w:t xml:space="preserve"> </w:t>
      </w:r>
      <w:r>
        <w:t xml:space="preserve">Throughout the abstract, results, highlights, cover letter and figure, claims were held to the strength of the original analysis (for example</w:t>
      </w:r>
      <w:r>
        <w:t xml:space="preserve"> </w:t>
      </w:r>
      <w:r>
        <w:t xml:space="preserve">“</w:t>
      </w:r>
      <w:r>
        <w:t xml:space="preserve">could create</w:t>
      </w:r>
      <w:r>
        <w:t xml:space="preserve">”</w:t>
      </w:r>
      <w:r>
        <w:t xml:space="preserve">,</w:t>
      </w:r>
      <w:r>
        <w:t xml:space="preserve"> </w:t>
      </w:r>
      <w:r>
        <w:t xml:space="preserve">“</w:t>
      </w:r>
      <w:r>
        <w:t xml:space="preserve">not always visible</w:t>
      </w:r>
      <w:r>
        <w:t xml:space="preserve">”</w:t>
      </w:r>
      <w:r>
        <w:t xml:space="preserve">), and quantified statements were kept only where counts exist (19, 15, 11 of 19).</w:t>
      </w:r>
    </w:p>
    <w:p>
      <w:pPr>
        <w:pStyle w:val="Compact"/>
        <w:numPr>
          <w:ilvl w:val="0"/>
          <w:numId w:val="1002"/>
        </w:numPr>
      </w:pPr>
      <w:r>
        <w:t xml:space="preserve">All 27 participant quotations were checked automatically and are word-for-word identical to the original.</w:t>
      </w:r>
    </w:p>
    <w:bookmarkEnd w:id="21"/>
    <w:bookmarkStart w:id="22" w:name="Xec236a5ee05c3ea942dffc3f7f108559d00fe65"/>
    <w:p>
      <w:pPr>
        <w:pStyle w:val="Heading2"/>
      </w:pPr>
      <w:r>
        <w:t xml:space="preserve">2.2 Strengthening the manuscript for an applied nursing journal</w:t>
      </w:r>
    </w:p>
    <w:p>
      <w:pPr>
        <w:pStyle w:val="Compact"/>
        <w:numPr>
          <w:ilvl w:val="0"/>
          <w:numId w:val="1003"/>
        </w:numPr>
      </w:pPr>
      <w:r>
        <w:rPr>
          <w:bCs/>
          <w:b/>
        </w:rPr>
        <w:t xml:space="preserve">Abstract</w:t>
      </w:r>
      <w:r>
        <w:t xml:space="preserve"> </w:t>
      </w:r>
      <w:r>
        <w:t xml:space="preserve">rewritten to 248 words, with the journal’s required headings (Aim, Background, Methods, Results, Conclusions) and the central finding (a conditional burden of proof) stated explicitly.</w:t>
      </w:r>
    </w:p>
    <w:p>
      <w:pPr>
        <w:pStyle w:val="Compact"/>
        <w:numPr>
          <w:ilvl w:val="0"/>
          <w:numId w:val="1003"/>
        </w:numPr>
      </w:pPr>
      <w:r>
        <w:rPr>
          <w:bCs/>
          <w:b/>
        </w:rPr>
        <w:t xml:space="preserve">Introduction</w:t>
      </w:r>
      <w:r>
        <w:t xml:space="preserve"> </w:t>
      </w:r>
      <w:r>
        <w:t xml:space="preserve">shortened and sharpened. It opens with the practical problem, positions the study against speaking-up research focused on the</w:t>
      </w:r>
      <w:r>
        <w:t xml:space="preserve"> </w:t>
      </w:r>
      <w:r>
        <w:rPr>
          <w:iCs/>
          <w:i/>
        </w:rPr>
        <w:t xml:space="preserve">speaker</w:t>
      </w:r>
      <w:r>
        <w:t xml:space="preserve">, and identifies the gap on the</w:t>
      </w:r>
      <w:r>
        <w:t xml:space="preserve"> </w:t>
      </w:r>
      <w:r>
        <w:rPr>
          <w:iCs/>
          <w:i/>
        </w:rPr>
        <w:t xml:space="preserve">receiver</w:t>
      </w:r>
      <w:r>
        <w:t xml:space="preserve"> </w:t>
      </w:r>
      <w:r>
        <w:t xml:space="preserve">side. The problem is anchored in performance-measurement and inquiry literature (Bevan &amp; Hood, 2006; Francis, 2013).</w:t>
      </w:r>
    </w:p>
    <w:p>
      <w:pPr>
        <w:pStyle w:val="Compact"/>
        <w:numPr>
          <w:ilvl w:val="0"/>
          <w:numId w:val="1003"/>
        </w:numPr>
      </w:pPr>
      <w:r>
        <w:rPr>
          <w:bCs/>
          <w:b/>
        </w:rPr>
        <w:t xml:space="preserve">Methods</w:t>
      </w:r>
      <w:r>
        <w:t xml:space="preserve"> </w:t>
      </w:r>
      <w:r>
        <w:t xml:space="preserve">condensed by about a quarter, with procedural detail moved to the supplementary files. The rationale for interpretive description and for not calculating inter-coder reliability is now explicit, and Thorne’s four rigour criteria are mapped to concrete procedures.</w:t>
      </w:r>
    </w:p>
    <w:p>
      <w:pPr>
        <w:pStyle w:val="Compact"/>
        <w:numPr>
          <w:ilvl w:val="0"/>
          <w:numId w:val="1003"/>
        </w:numPr>
      </w:pPr>
      <w:r>
        <w:rPr>
          <w:bCs/>
          <w:b/>
        </w:rPr>
        <w:t xml:space="preserve">Themes retitled interpretively</w:t>
      </w:r>
      <w:r>
        <w:t xml:space="preserve"> </w:t>
      </w:r>
      <w:r>
        <w:t xml:space="preserve">using participants’ own words (e.g.,</w:t>
      </w:r>
      <w:r>
        <w:t xml:space="preserve"> </w:t>
      </w:r>
      <w:r>
        <w:t xml:space="preserve">“</w:t>
      </w:r>
      <w:r>
        <w:t xml:space="preserve">It passes down the line</w:t>
      </w:r>
      <w:r>
        <w:t xml:space="preserve">”</w:t>
      </w:r>
      <w:r>
        <w:t xml:space="preserve">: Allocating the burden of proof), which signals constructed interpretation rather than topic summaries, as reviewers of qualitative work increasingly expect. Subthemes are unchanged.</w:t>
      </w:r>
    </w:p>
    <w:p>
      <w:pPr>
        <w:pStyle w:val="Compact"/>
        <w:numPr>
          <w:ilvl w:val="0"/>
          <w:numId w:val="1003"/>
        </w:numPr>
      </w:pPr>
      <w:r>
        <w:rPr>
          <w:bCs/>
          <w:b/>
        </w:rPr>
        <w:t xml:space="preserve">Participant quotations</w:t>
      </w:r>
      <w:r>
        <w:t xml:space="preserve"> </w:t>
      </w:r>
      <w:r>
        <w:t xml:space="preserve">set in italics, indented, with roman attributions.</w:t>
      </w:r>
    </w:p>
    <w:p>
      <w:pPr>
        <w:pStyle w:val="Compact"/>
        <w:numPr>
          <w:ilvl w:val="0"/>
          <w:numId w:val="1003"/>
        </w:numPr>
      </w:pPr>
      <w:r>
        <w:rPr>
          <w:bCs/>
          <w:b/>
        </w:rPr>
        <w:t xml:space="preserve">Figure 1 (new):</w:t>
      </w:r>
      <w:r>
        <w:t xml:space="preserve"> </w:t>
      </w:r>
      <w:r>
        <w:t xml:space="preserve">a conceptual model of how the four themes relate. It is supplied as a vector PDF and a 600-dpi TIFF, with a full caption in the manuscript.</w:t>
      </w:r>
    </w:p>
    <w:p>
      <w:pPr>
        <w:pStyle w:val="Compact"/>
        <w:numPr>
          <w:ilvl w:val="0"/>
          <w:numId w:val="1003"/>
        </w:numPr>
      </w:pPr>
      <w:r>
        <w:rPr>
          <w:bCs/>
          <w:b/>
        </w:rPr>
        <w:t xml:space="preserve">Discussion</w:t>
      </w:r>
      <w:r>
        <w:t xml:space="preserve"> </w:t>
      </w:r>
      <w:r>
        <w:t xml:space="preserve">strengthened theoretically (testimonial injustice; measurement reach), with a clearer statement of contribution, closer links to Saudi evidence (Alshmemri, 2026; Alshehri, 2026) and an explicit implications section with five concrete applications.</w:t>
      </w:r>
    </w:p>
    <w:p>
      <w:pPr>
        <w:pStyle w:val="Compact"/>
        <w:numPr>
          <w:ilvl w:val="0"/>
          <w:numId w:val="1003"/>
        </w:numPr>
      </w:pPr>
      <w:r>
        <w:rPr>
          <w:bCs/>
          <w:b/>
        </w:rPr>
        <w:t xml:space="preserve">Table 3</w:t>
      </w:r>
      <w:r>
        <w:t xml:space="preserve"> </w:t>
      </w:r>
      <w:r>
        <w:t xml:space="preserve">gains a</w:t>
      </w:r>
      <w:r>
        <w:t xml:space="preserve"> </w:t>
      </w:r>
      <w:r>
        <w:t xml:space="preserve">“</w:t>
      </w:r>
      <w:r>
        <w:t xml:space="preserve">Derived from</w:t>
      </w:r>
      <w:r>
        <w:t xml:space="preserve">”</w:t>
      </w:r>
      <w:r>
        <w:t xml:space="preserve"> </w:t>
      </w:r>
      <w:r>
        <w:t xml:space="preserve">column linking each framework element to the subthemes that support it, plus a new</w:t>
      </w:r>
      <w:r>
        <w:t xml:space="preserve"> </w:t>
      </w:r>
      <w:r>
        <w:t xml:space="preserve">“</w:t>
      </w:r>
      <w:r>
        <w:t xml:space="preserve">Credibility and clarity</w:t>
      </w:r>
      <w:r>
        <w:t xml:space="preserve">”</w:t>
      </w:r>
      <w:r>
        <w:t xml:space="preserve"> </w:t>
      </w:r>
      <w:r>
        <w:t xml:space="preserve">row grounded in Subthemes 1.3 and 4.3.</w:t>
      </w:r>
    </w:p>
    <w:p>
      <w:pPr>
        <w:pStyle w:val="Compact"/>
        <w:numPr>
          <w:ilvl w:val="0"/>
          <w:numId w:val="1003"/>
        </w:numPr>
      </w:pPr>
      <w:r>
        <w:rPr>
          <w:bCs/>
          <w:b/>
        </w:rPr>
        <w:t xml:space="preserve">Declarations</w:t>
      </w:r>
      <w:r>
        <w:t xml:space="preserve"> </w:t>
      </w:r>
      <w:r>
        <w:t xml:space="preserve">updated to Elsevier’s standard wording; acknowledgements, CRediT and the AI declaration moved to the Title Page for anonymised review.</w:t>
      </w:r>
    </w:p>
    <w:p>
      <w:pPr>
        <w:pStyle w:val="Compact"/>
        <w:numPr>
          <w:ilvl w:val="0"/>
          <w:numId w:val="1003"/>
        </w:numPr>
      </w:pPr>
      <w:r>
        <w:rPr>
          <w:bCs/>
          <w:b/>
        </w:rPr>
        <w:t xml:space="preserve">Formatting:</w:t>
      </w:r>
      <w:r>
        <w:t xml:space="preserve"> </w:t>
      </w:r>
      <w:r>
        <w:t xml:space="preserve">Times New Roman 12 pt, double spacing, continuous line numbers and page numbers in the manuscript; three-line academic tables; a cover letter added.</w:t>
      </w:r>
    </w:p>
    <w:bookmarkEnd w:id="22"/>
    <w:bookmarkEnd w:id="23"/>
    <w:bookmarkStart w:id="24" w:name="submission-file-list"/>
    <w:p>
      <w:pPr>
        <w:pStyle w:val="Heading1"/>
      </w:pPr>
      <w:r>
        <w:t xml:space="preserve">3. Submission file list</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File</w:t>
            </w:r>
          </w:p>
        </w:tc>
        <w:tc>
          <w:tcPr/>
          <w:p>
            <w:pPr>
              <w:pStyle w:val="Compact"/>
              <w:jc w:val="left"/>
            </w:pPr>
            <w:r>
              <w:t xml:space="preserve">Upload as</w:t>
            </w:r>
          </w:p>
        </w:tc>
      </w:tr>
      <w:tr>
        <w:tc>
          <w:tcPr/>
          <w:p>
            <w:pPr>
              <w:pStyle w:val="Compact"/>
              <w:jc w:val="left"/>
            </w:pPr>
            <w:r>
              <w:t xml:space="preserve">01</w:t>
            </w:r>
          </w:p>
        </w:tc>
        <w:tc>
          <w:tcPr/>
          <w:p>
            <w:pPr>
              <w:pStyle w:val="Compact"/>
              <w:jc w:val="left"/>
            </w:pPr>
            <w:r>
              <w:t xml:space="preserve">01_Cover_Letter.docx</w:t>
            </w:r>
          </w:p>
        </w:tc>
        <w:tc>
          <w:tcPr/>
          <w:p>
            <w:pPr>
              <w:pStyle w:val="Compact"/>
              <w:jc w:val="left"/>
            </w:pPr>
            <w:r>
              <w:t xml:space="preserve">Cover letter</w:t>
            </w:r>
          </w:p>
        </w:tc>
      </w:tr>
      <w:tr>
        <w:tc>
          <w:tcPr/>
          <w:p>
            <w:pPr>
              <w:pStyle w:val="Compact"/>
              <w:jc w:val="left"/>
            </w:pPr>
            <w:r>
              <w:t xml:space="preserve">02</w:t>
            </w:r>
          </w:p>
        </w:tc>
        <w:tc>
          <w:tcPr/>
          <w:p>
            <w:pPr>
              <w:pStyle w:val="Compact"/>
              <w:jc w:val="left"/>
            </w:pPr>
            <w:r>
              <w:t xml:space="preserve">Title_Page.docx</w:t>
            </w:r>
          </w:p>
        </w:tc>
        <w:tc>
          <w:tcPr/>
          <w:p>
            <w:pPr>
              <w:pStyle w:val="Compact"/>
              <w:jc w:val="left"/>
            </w:pPr>
            <w:r>
              <w:t xml:space="preserve">Title page (with author details)</w:t>
            </w:r>
          </w:p>
        </w:tc>
      </w:tr>
      <w:tr>
        <w:tc>
          <w:tcPr/>
          <w:p>
            <w:pPr>
              <w:pStyle w:val="Compact"/>
              <w:jc w:val="left"/>
            </w:pPr>
            <w:r>
              <w:t xml:space="preserve">03</w:t>
            </w:r>
          </w:p>
        </w:tc>
        <w:tc>
          <w:tcPr/>
          <w:p>
            <w:pPr>
              <w:pStyle w:val="Compact"/>
              <w:jc w:val="left"/>
            </w:pPr>
            <w:r>
              <w:t xml:space="preserve">Highlights.docx</w:t>
            </w:r>
          </w:p>
        </w:tc>
        <w:tc>
          <w:tcPr/>
          <w:p>
            <w:pPr>
              <w:pStyle w:val="Compact"/>
              <w:jc w:val="left"/>
            </w:pPr>
            <w:r>
              <w:t xml:space="preserve">Highlights</w:t>
            </w:r>
          </w:p>
        </w:tc>
      </w:tr>
      <w:tr>
        <w:tc>
          <w:tcPr/>
          <w:p>
            <w:pPr>
              <w:pStyle w:val="Compact"/>
              <w:jc w:val="left"/>
            </w:pPr>
            <w:r>
              <w:t xml:space="preserve">04</w:t>
            </w:r>
          </w:p>
        </w:tc>
        <w:tc>
          <w:tcPr/>
          <w:p>
            <w:pPr>
              <w:pStyle w:val="Compact"/>
              <w:jc w:val="left"/>
            </w:pPr>
            <w:r>
              <w:t xml:space="preserve">Manuscript_Anonymised.docx</w:t>
            </w:r>
          </w:p>
        </w:tc>
        <w:tc>
          <w:tcPr/>
          <w:p>
            <w:pPr>
              <w:pStyle w:val="Compact"/>
              <w:jc w:val="left"/>
            </w:pPr>
            <w:r>
              <w:t xml:space="preserve">Manuscript (no author details)</w:t>
            </w:r>
          </w:p>
        </w:tc>
      </w:tr>
      <w:tr>
        <w:tc>
          <w:tcPr/>
          <w:p>
            <w:pPr>
              <w:pStyle w:val="Compact"/>
              <w:jc w:val="left"/>
            </w:pPr>
            <w:r>
              <w:t xml:space="preserve">05</w:t>
            </w:r>
          </w:p>
        </w:tc>
        <w:tc>
          <w:tcPr/>
          <w:p>
            <w:pPr>
              <w:pStyle w:val="Compact"/>
              <w:jc w:val="left"/>
            </w:pPr>
            <w:r>
              <w:t xml:space="preserve">Table_1_Participant_Characteristics.docx</w:t>
            </w:r>
          </w:p>
        </w:tc>
        <w:tc>
          <w:tcPr/>
          <w:p>
            <w:pPr>
              <w:pStyle w:val="Compact"/>
              <w:jc w:val="left"/>
            </w:pPr>
            <w:r>
              <w:t xml:space="preserve">Table</w:t>
            </w:r>
          </w:p>
        </w:tc>
      </w:tr>
      <w:tr>
        <w:tc>
          <w:tcPr/>
          <w:p>
            <w:pPr>
              <w:pStyle w:val="Compact"/>
              <w:jc w:val="left"/>
            </w:pPr>
            <w:r>
              <w:t xml:space="preserve">06</w:t>
            </w:r>
          </w:p>
        </w:tc>
        <w:tc>
          <w:tcPr/>
          <w:p>
            <w:pPr>
              <w:pStyle w:val="Compact"/>
              <w:jc w:val="left"/>
            </w:pPr>
            <w:r>
              <w:t xml:space="preserve">Table_2_Themes_and_Objectives.docx</w:t>
            </w:r>
          </w:p>
        </w:tc>
        <w:tc>
          <w:tcPr/>
          <w:p>
            <w:pPr>
              <w:pStyle w:val="Compact"/>
              <w:jc w:val="left"/>
            </w:pPr>
            <w:r>
              <w:t xml:space="preserve">Table</w:t>
            </w:r>
          </w:p>
        </w:tc>
      </w:tr>
      <w:tr>
        <w:tc>
          <w:tcPr/>
          <w:p>
            <w:pPr>
              <w:pStyle w:val="Compact"/>
              <w:jc w:val="left"/>
            </w:pPr>
            <w:r>
              <w:t xml:space="preserve">07</w:t>
            </w:r>
          </w:p>
        </w:tc>
        <w:tc>
          <w:tcPr/>
          <w:p>
            <w:pPr>
              <w:pStyle w:val="Compact"/>
              <w:jc w:val="left"/>
            </w:pPr>
            <w:r>
              <w:t xml:space="preserve">Table_3_Proposed_Practice_Framework.docx</w:t>
            </w:r>
          </w:p>
        </w:tc>
        <w:tc>
          <w:tcPr/>
          <w:p>
            <w:pPr>
              <w:pStyle w:val="Compact"/>
              <w:jc w:val="left"/>
            </w:pPr>
            <w:r>
              <w:t xml:space="preserve">Table</w:t>
            </w:r>
          </w:p>
        </w:tc>
      </w:tr>
      <w:tr>
        <w:tc>
          <w:tcPr/>
          <w:p>
            <w:pPr>
              <w:pStyle w:val="Compact"/>
              <w:jc w:val="left"/>
            </w:pPr>
            <w:r>
              <w:t xml:space="preserve">08</w:t>
            </w:r>
          </w:p>
        </w:tc>
        <w:tc>
          <w:tcPr/>
          <w:p>
            <w:pPr>
              <w:pStyle w:val="Compact"/>
              <w:jc w:val="left"/>
            </w:pPr>
            <w:r>
              <w:t xml:space="preserve">Figure_1.pdf / Figure_1.tiff</w:t>
            </w:r>
          </w:p>
        </w:tc>
        <w:tc>
          <w:tcPr/>
          <w:p>
            <w:pPr>
              <w:pStyle w:val="Compact"/>
              <w:jc w:val="left"/>
            </w:pPr>
            <w:r>
              <w:t xml:space="preserve">Figure (upload one; PDF is vector)</w:t>
            </w:r>
          </w:p>
        </w:tc>
      </w:tr>
      <w:tr>
        <w:tc>
          <w:tcPr/>
          <w:p>
            <w:pPr>
              <w:pStyle w:val="Compact"/>
              <w:jc w:val="left"/>
            </w:pPr>
            <w:r>
              <w:t xml:space="preserve">09</w:t>
            </w:r>
          </w:p>
        </w:tc>
        <w:tc>
          <w:tcPr/>
          <w:p>
            <w:pPr>
              <w:pStyle w:val="Compact"/>
              <w:jc w:val="left"/>
            </w:pPr>
            <w:r>
              <w:t xml:space="preserve">Supplementary_File_1_Interview_Guide.docx</w:t>
            </w:r>
          </w:p>
        </w:tc>
        <w:tc>
          <w:tcPr/>
          <w:p>
            <w:pPr>
              <w:pStyle w:val="Compact"/>
              <w:jc w:val="left"/>
            </w:pPr>
            <w:r>
              <w:t xml:space="preserve">Supplementary material</w:t>
            </w:r>
          </w:p>
        </w:tc>
      </w:tr>
      <w:tr>
        <w:tc>
          <w:tcPr/>
          <w:p>
            <w:pPr>
              <w:pStyle w:val="Compact"/>
              <w:jc w:val="left"/>
            </w:pPr>
            <w:r>
              <w:t xml:space="preserve">10</w:t>
            </w:r>
          </w:p>
        </w:tc>
        <w:tc>
          <w:tcPr/>
          <w:p>
            <w:pPr>
              <w:pStyle w:val="Compact"/>
              <w:jc w:val="left"/>
            </w:pPr>
            <w:r>
              <w:t xml:space="preserve">Supplementary_File_2_SRQR_COREQ.docx</w:t>
            </w:r>
          </w:p>
        </w:tc>
        <w:tc>
          <w:tcPr/>
          <w:p>
            <w:pPr>
              <w:pStyle w:val="Compact"/>
              <w:jc w:val="left"/>
            </w:pPr>
            <w:r>
              <w:t xml:space="preserve">Supplementary material</w:t>
            </w:r>
          </w:p>
        </w:tc>
      </w:tr>
      <w:tr>
        <w:tc>
          <w:tcPr/>
          <w:p>
            <w:pPr>
              <w:pStyle w:val="Compact"/>
              <w:jc w:val="left"/>
            </w:pPr>
            <w:r>
              <w:t xml:space="preserve">11</w:t>
            </w:r>
          </w:p>
        </w:tc>
        <w:tc>
          <w:tcPr/>
          <w:p>
            <w:pPr>
              <w:pStyle w:val="Compact"/>
              <w:jc w:val="left"/>
            </w:pPr>
            <w:r>
              <w:t xml:space="preserve">Supplementary_File_3_Eligibility_Data_Management_Ethics.docx</w:t>
            </w:r>
          </w:p>
        </w:tc>
        <w:tc>
          <w:tcPr/>
          <w:p>
            <w:pPr>
              <w:pStyle w:val="Compact"/>
              <w:jc w:val="left"/>
            </w:pPr>
            <w:r>
              <w:t xml:space="preserve">Supplementary material</w:t>
            </w:r>
          </w:p>
        </w:tc>
      </w:tr>
    </w:tbl>
    <w:bookmarkEnd w:id="24"/>
    <w:sectPr>
      <w:footerReference w:type="default" r:id="rIdFtr1"/>
      <w:pgSz w:w="12240" w:h="15840"/>
      <w:pgMar w:top="1440" w:right="1440" w:bottom="1440" w:left="1440" w:header="720" w:footer="576"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suppressLineNumbers/>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w="http://schemas.openxmlformats.org/wordprocessingml/2006/main">
  <w:zoom w:percent="100"/>
  <w:proofState w:spelling="clean" w:grammar="clean"/>
  <w:defaultTabStop w:val="720"/>
  <w:characterSpacingControl w:val="doNotCompress"/>
  <w:footnotePr>
    <w:footnote w:id="-1"/>
    <w:footnote w:id="0"/>
  </w:footnotePr>
  <w:compat>
    <w:compatSetting w:name="compatibilityMode" w:uri="http://schemas.microsoft.com/office/word" w:val="15"/>
  </w:compat>
  <w:themeFontLang w:val="en-GB"/>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rPr>
    </w:rPrDefault>
    <w:pPrDefault>
      <w:pPr>
        <w:spacing w:before="0" w:after="120" w:line="240" w:lineRule="auto"/>
      </w:pPr>
    </w:pPrDefault>
  </w:docDefaults>
  <w:style w:type="paragraph" w:default="1" w:styleId="Normal">
    <w:name w:val="Normal"/>
    <w:qFormat/>
    <w:pPr>
      <w:spacing w:before="0" w:after="120" w:line="240" w:lineRule="auto"/>
    </w:pPr>
    <w:rPr>
      <w:rFonts w:ascii="Times New Roman" w:hAnsi="Times New Roman" w:eastAsia="Times New Roman" w:cs="Times New Roman"/>
      <w:sz w:val="24"/>
      <w:szCs w:val="24"/>
    </w:rPr>
  </w:style>
  <w:style w:type="paragraph" w:styleId="BodyText">
    <w:name w:val="Body Text"/>
    <w:basedOn w:val="Normal"/>
    <w:next w:val="BodyText"/>
    <w:qFormat/>
    <w:pPr>
      <w:spacing w:before="0" w:after="120" w:line="240" w:lineRule="auto"/>
      <w:ind w:firstLine="0"/>
    </w:pPr>
  </w:style>
  <w:style w:type="paragraph" w:styleId="FirstParagraph">
    <w:name w:val="First Paragraph"/>
    <w:basedOn w:val="BodyText"/>
    <w:next w:val="BodyText"/>
    <w:qFormat/>
  </w:style>
  <w:style w:type="paragraph" w:styleId="Compact">
    <w:name w:val="Compact"/>
    <w:basedOn w:val="BodyText"/>
    <w:next w:val="BodyText"/>
    <w:qFormat/>
    <w:pPr>
      <w:spacing w:before="0" w:after="0" w:line="240" w:lineRule="auto"/>
    </w:pPr>
  </w:style>
  <w:style w:type="paragraph" w:styleId="Title">
    <w:name w:val="Title"/>
    <w:basedOn w:val="Normal"/>
    <w:next w:val="BodyText"/>
    <w:qFormat/>
    <w:pPr>
      <w:spacing w:before="0" w:after="240" w:line="240" w:lineRule="auto"/>
      <w:jc w:val="center"/>
    </w:pPr>
    <w:rPr>
      <w:b/>
      <w:sz w:val="28"/>
      <w:szCs w:val="28"/>
    </w:rPr>
  </w:style>
  <w:style w:type="paragraph" w:styleId="Subtitle">
    <w:name w:val="Subtitle"/>
    <w:basedOn w:val="Normal"/>
    <w:next w:val="BodyText"/>
    <w:qFormat/>
    <w:pPr>
      <w:spacing w:before="0" w:after="0" w:line="240" w:lineRule="auto"/>
      <w:jc w:val="center"/>
    </w:pPr>
  </w:style>
  <w:style w:type="paragraph" w:styleId="Author">
    <w:name w:val="Author"/>
    <w:basedOn w:val="Normal"/>
    <w:next w:val="BodyText"/>
    <w:qFormat/>
    <w:pPr>
      <w:spacing w:before="0" w:after="0" w:line="240" w:lineRule="auto"/>
      <w:jc w:val="center"/>
    </w:pPr>
  </w:style>
  <w:style w:type="paragraph" w:styleId="Date">
    <w:name w:val="Date"/>
    <w:basedOn w:val="Normal"/>
    <w:next w:val="BodyText"/>
    <w:qFormat/>
    <w:pPr>
      <w:spacing w:before="0" w:after="0" w:line="240" w:lineRule="auto"/>
      <w:jc w:val="center"/>
    </w:pPr>
  </w:style>
  <w:style w:type="paragraph" w:styleId="Abstract">
    <w:name w:val="Abstract"/>
    <w:basedOn w:val="Normal"/>
    <w:next w:val="BodyText"/>
    <w:qFormat/>
  </w:style>
  <w:style w:type="paragraph" w:styleId="AbstractTitle">
    <w:name w:val="Abstract Title"/>
    <w:basedOn w:val="Normal"/>
    <w:next w:val="BodyText"/>
    <w:qFormat/>
    <w:rPr>
      <w:b/>
    </w:rPr>
  </w:style>
  <w:style w:type="paragraph" w:styleId="Bibliography">
    <w:name w:val="Bibliography"/>
    <w:basedOn w:val="Normal"/>
    <w:next w:val="BodyText"/>
    <w:qFormat/>
    <w:pPr>
      <w:spacing w:before="0" w:after="120" w:line="240" w:lineRule="auto"/>
      <w:ind w:left="720" w:hanging="720"/>
    </w:pPr>
  </w:style>
  <w:style w:type="paragraph" w:styleId="Heading1">
    <w:name w:val="heading 1"/>
    <w:basedOn w:val="Normal"/>
    <w:next w:val="BodyText"/>
    <w:qFormat/>
    <w:pPr>
      <w:keepNext/>
      <w:spacing w:before="240" w:after="0" w:line="240" w:lineRule="auto"/>
      <w:outlineLvl w:val="0"/>
    </w:pPr>
    <w:rPr>
      <w:b/>
    </w:rPr>
  </w:style>
  <w:style w:type="paragraph" w:styleId="Heading2">
    <w:name w:val="heading 2"/>
    <w:basedOn w:val="Normal"/>
    <w:next w:val="BodyText"/>
    <w:qFormat/>
    <w:pPr>
      <w:keepNext/>
      <w:spacing w:before="120" w:after="0" w:line="240" w:lineRule="auto"/>
      <w:outlineLvl w:val="1"/>
    </w:pPr>
    <w:rPr>
      <w:b/>
      <w:i/>
    </w:rPr>
  </w:style>
  <w:style w:type="paragraph" w:styleId="Heading3">
    <w:name w:val="heading 3"/>
    <w:basedOn w:val="Normal"/>
    <w:next w:val="BodyText"/>
    <w:qFormat/>
    <w:pPr>
      <w:keepNext/>
      <w:spacing w:before="120" w:after="0" w:line="240" w:lineRule="auto"/>
      <w:outlineLvl w:val="2"/>
    </w:pPr>
    <w:rPr>
      <w:i/>
    </w:rPr>
  </w:style>
  <w:style w:type="paragraph" w:styleId="Heading4">
    <w:name w:val="heading 4"/>
    <w:basedOn w:val="Normal"/>
    <w:next w:val="BodyText"/>
    <w:qFormat/>
    <w:pPr>
      <w:keepNext/>
      <w:spacing w:before="0" w:after="0" w:line="240" w:lineRule="auto"/>
      <w:outlineLvl w:val="3"/>
    </w:pPr>
    <w:rPr>
      <w:i/>
    </w:rPr>
  </w:style>
  <w:style w:type="paragraph" w:styleId="BlockText">
    <w:name w:val="Block Text"/>
    <w:basedOn w:val="BodyText"/>
    <w:next w:val="BodyText"/>
    <w:qFormat/>
    <w:pPr>
      <w:spacing w:before="0" w:after="120" w:line="240" w:lineRule="auto"/>
      <w:ind w:left="720" w:right="720"/>
    </w:pPr>
  </w:style>
  <w:style w:type="paragraph" w:styleId="TableCaption">
    <w:name w:val="Table Caption"/>
    <w:basedOn w:val="Normal"/>
    <w:next w:val="BodyText"/>
    <w:qFormat/>
    <w:pPr>
      <w:keepNext/>
      <w:spacing w:before="120" w:after="120" w:line="240" w:lineRule="auto"/>
    </w:pPr>
    <w:rPr>
      <w:b/>
    </w:rPr>
  </w:style>
  <w:style w:type="paragraph" w:styleId="Caption">
    <w:name w:val="Caption"/>
    <w:basedOn w:val="Normal"/>
    <w:next w:val="BodyText"/>
    <w:qFormat/>
    <w:pPr>
      <w:spacing w:before="0" w:after="120" w:line="240" w:lineRule="auto"/>
    </w:pPr>
  </w:style>
  <w:style w:type="paragraph" w:styleId="FootnoteText">
    <w:name w:val="footnote text"/>
    <w:basedOn w:val="Normal"/>
    <w:next w:val="BodyText"/>
    <w:qFormat/>
    <w:pPr>
      <w:spacing w:before="0" w:after="0" w:line="240" w:lineRule="auto"/>
    </w:pPr>
    <w:rPr>
      <w:sz w:val="20"/>
    </w:rPr>
  </w:style>
  <w:style w:type="paragraph" w:styleId="TableText">
    <w:name w:val="Table Text"/>
    <w:basedOn w:val="Normal"/>
    <w:next w:val="BodyText"/>
    <w:qFormat/>
    <w:pPr>
      <w:spacing w:before="0" w:after="0" w:line="240" w:lineRule="auto"/>
    </w:pPr>
    <w:rPr>
      <w:sz w:val="20"/>
      <w:szCs w:val="20"/>
    </w:rPr>
  </w:style>
  <w:style w:type="paragraph" w:styleId="Note">
    <w:name w:val="Table Note"/>
    <w:basedOn w:val="Normal"/>
    <w:next w:val="BodyText"/>
    <w:qFormat/>
    <w:pPr>
      <w:spacing w:before="0" w:after="60" w:line="240" w:lineRule="auto"/>
    </w:pPr>
    <w:rPr>
      <w:sz w:val="20"/>
      <w:szCs w:val="20"/>
    </w:rPr>
  </w:style>
  <w:style w:type="character" w:default="1" w:styleId="DefaultParagraphFont">
    <w:name w:val="Default Paragraph Font"/>
    <w:uiPriority w:val="1"/>
    <w:semiHidden/>
  </w:style>
  <w:style w:type="character" w:styleId="BodyTextChar">
    <w:name w:val="Body Text Char"/>
  </w:style>
  <w:style w:type="character" w:styleId="Hyperlink">
    <w:name w:val="Hyperlink"/>
    <w:rPr>
      <w:color w:val="1F4E79"/>
    </w:rPr>
  </w:style>
  <w:style w:type="character" w:styleId="FootnoteReference">
    <w:name w:val="footnote reference"/>
    <w:rPr>
      <w:vertAlign w:val="superscript"/>
    </w:rPr>
  </w:style>
  <w:style w:type="table" w:default="1" w:styleId="TableNormal">
    <w:name w:val="Normal Table"/>
    <w:tblPr>
      <w:tblInd w:w="0" w:type="dxa"/>
      <w:tblCellMar>
        <w:top w:w="0" w:type="dxa"/>
        <w:left w:w="108" w:type="dxa"/>
        <w:bottom w:w="0" w:type="dxa"/>
        <w:right w:w="108" w:type="dxa"/>
      </w:tblCellMar>
    </w:tblPr>
  </w:style>
  <w:style w:type="table" w:styleId="Table">
    <w:name w:val="Table"/>
    <w:basedOn w:val="TableNormal"/>
    <w:pPr>
      <w:spacing w:before="20" w:after="20" w:line="240" w:lineRule="auto"/>
    </w:pPr>
    <w:rPr>
      <w:sz w:val="20"/>
      <w:szCs w:val="20"/>
    </w:rPr>
    <w:tblPr>
      <w:tblBorders>
        <w:top w:val="single" w:sz="8" w:space="0" w:color="000000"/>
        <w:bottom w:val="single" w:sz="8" w:space="0" w:color="000000"/>
        <w:insideH w:val="single" w:sz="2" w:space="0" w:color="BFBFBF"/>
      </w:tblBorders>
    </w:tblPr>
    <w:tblStylePr w:type="firstRow">
      <w:rPr>
        <w:b/>
      </w:rPr>
      <w:tcPr>
        <w:tcBorders>
          <w:bottom w:val="single" w:sz="8" w:space="0" w:color="000000"/>
        </w:tcBorders>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Report and Pre-Submission Checklist</dc:title>
  <dc:creator/>
  <cp:keywords/>
  <dcterms:created xsi:type="dcterms:W3CDTF">2026-10-28T00:17:13Z</dcterms:created>
  <dcterms:modified xsi:type="dcterms:W3CDTF">2026-10-28T00:17:13Z</dcterms:modified>
</cp:coreProperties>
</file>

<file path=docProps/custom.xml><?xml version="1.0" encoding="utf-8"?>
<Properties xmlns="http://schemas.openxmlformats.org/officeDocument/2006/custom-properties" xmlns:vt="http://schemas.openxmlformats.org/officeDocument/2006/docPropsVTypes"/>
</file>