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The Editor-in-Chief</w:t>
      </w:r>
      <w:r>
        <w:br/>
      </w:r>
      <w:r>
        <w:rPr>
          <w:iCs/>
          <w:i/>
        </w:rPr>
        <w:t xml:space="preserve">Applied Nursing Research</w:t>
      </w:r>
    </w:p>
    <w:p>
      <w:pPr>
        <w:pStyle w:val="BodyText"/>
      </w:pPr>
      <w:r>
        <w:t xml:space="preserve">Dear Editor,</w:t>
      </w:r>
    </w:p>
    <w:p>
      <w:pPr>
        <w:pStyle w:val="BodyText"/>
      </w:pPr>
      <w:r>
        <w:rPr>
          <w:bCs/>
          <w:b/>
        </w:rPr>
        <w:t xml:space="preserve">Submission of an original research article:</w:t>
      </w:r>
      <w:r>
        <w:rPr>
          <w:bCs/>
          <w:b/>
        </w:rPr>
        <w:t xml:space="preserve"> </w:t>
      </w:r>
      <w:r>
        <w:rPr>
          <w:bCs/>
          <w:b/>
        </w:rPr>
        <w:t xml:space="preserve">“</w:t>
      </w:r>
      <w:r>
        <w:rPr>
          <w:bCs/>
          <w:b/>
        </w:rPr>
        <w:t xml:space="preserve">The Burden of Proof: Unit-Level Nurse Managers’ Judgements and Responses to Nurses’ Care Concerns When Quality Indicators Appear Reassuring—An Interpretive Description</w:t>
      </w:r>
      <w:r>
        <w:rPr>
          <w:bCs/>
          <w:b/>
        </w:rPr>
        <w:t xml:space="preserve">”</w:t>
      </w:r>
    </w:p>
    <w:p>
      <w:pPr>
        <w:pStyle w:val="BodyText"/>
      </w:pPr>
      <w:r>
        <w:t xml:space="preserve">We are pleased to submit the above manuscript for consideration as an original research article in</w:t>
      </w:r>
      <w:r>
        <w:t xml:space="preserve"> </w:t>
      </w:r>
      <w:r>
        <w:rPr>
          <w:iCs/>
          <w:i/>
        </w:rPr>
        <w:t xml:space="preserve">Applied Nursing Research</w:t>
      </w:r>
      <w:r>
        <w:t xml:space="preserve">.</w:t>
      </w:r>
    </w:p>
    <w:p>
      <w:pPr>
        <w:pStyle w:val="BodyText"/>
      </w:pPr>
      <w:r>
        <w:t xml:space="preserve">Nurse managers routinely receive concerns from nurses at times when their unit dashboards look reassuring. Speaking-up research has focused mainly on the person raising a concern; much less is known about how the receiving manager decides whether a concern warrants investigation, and who must supply the evidence. Using interpretive description with 23 nurse managers in six Saudi public hospitals, we found that:</w:t>
      </w:r>
    </w:p>
    <w:p>
      <w:pPr>
        <w:pStyle w:val="Compact"/>
        <w:numPr>
          <w:ilvl w:val="0"/>
          <w:numId w:val="1001"/>
        </w:numPr>
      </w:pPr>
      <w:r>
        <w:t xml:space="preserve">in 15 of 19 incident accounts, the</w:t>
      </w:r>
      <w:r>
        <w:t xml:space="preserve"> </w:t>
      </w:r>
      <w:r>
        <w:t xml:space="preserve">“</w:t>
      </w:r>
      <w:r>
        <w:t xml:space="preserve">green</w:t>
      </w:r>
      <w:r>
        <w:t xml:space="preserve">”</w:t>
      </w:r>
      <w:r>
        <w:t xml:space="preserve"> </w:t>
      </w:r>
      <w:r>
        <w:t xml:space="preserve">indicator did not measure the aspect or period of care at issue, so the problem was the reach of the reassurance rather than a true contradiction;</w:t>
      </w:r>
    </w:p>
    <w:p>
      <w:pPr>
        <w:pStyle w:val="Compact"/>
        <w:numPr>
          <w:ilvl w:val="0"/>
          <w:numId w:val="1001"/>
        </w:numPr>
      </w:pPr>
      <w:r>
        <w:t xml:space="preserve">the burden of proof was conditional: bedside risks prompted immediate inquiry, whereas resource-related concerns required documentation or numerical justification, which could pass down from senior managers to the nurse who raised the concern; and</w:t>
      </w:r>
    </w:p>
    <w:p>
      <w:pPr>
        <w:pStyle w:val="Compact"/>
        <w:numPr>
          <w:ilvl w:val="0"/>
          <w:numId w:val="1001"/>
        </w:numPr>
      </w:pPr>
      <w:r>
        <w:t xml:space="preserve">local fixes and informal feedback were not consistently captured in formal quality reporting.</w:t>
      </w:r>
    </w:p>
    <w:p>
      <w:pPr>
        <w:pStyle w:val="FirstParagraph"/>
      </w:pPr>
      <w:r>
        <w:t xml:space="preserve">The paper translates these findings into a proposed practice framework (Table 3) for quality meetings, follow-up standards and manager education. We believe it fits the journal’s focus on research that informs nursing practice and builds on recent work in the journal on nurses’ safety voice (Ahn, 2026).</w:t>
      </w:r>
    </w:p>
    <w:p>
      <w:pPr>
        <w:pStyle w:val="BodyText"/>
      </w:pPr>
      <w:r>
        <w:t xml:space="preserve">The study was approved by the Institutional Review Board of King Abdulaziz Specialist Hospital, Aljouf Health Cluster (No. 9804) and is reported according to SRQR, with SRQR and COREQ checklists supplied. The manuscript is original, has not been published previously and is not under consideration elsewhere. All authors approved the final version and declare no competing interests. The study received no specific funding. The use of AI-assisted technology in preparing the manuscript is declared on the title page.</w:t>
      </w:r>
    </w:p>
    <w:p>
      <w:pPr>
        <w:pStyle w:val="BodyText"/>
      </w:pPr>
      <w:r>
        <w:t xml:space="preserve">Thank you for considering our work.</w:t>
      </w:r>
    </w:p>
    <w:p>
      <w:pPr>
        <w:pStyle w:val="BodyText"/>
      </w:pPr>
      <w:r>
        <w:t xml:space="preserve">Yours sincerely,</w:t>
      </w:r>
    </w:p>
    <w:p>
      <w:pPr>
        <w:pStyle w:val="BodyText"/>
      </w:pPr>
      <w:r>
        <w:t xml:space="preserve">[Corresponding author name, credentials]</w:t>
      </w:r>
      <w:r>
        <w:br/>
      </w:r>
      <w:r>
        <w:t xml:space="preserve">[Affiliation]</w:t>
      </w:r>
      <w:r>
        <w:br/>
      </w:r>
      <w:r>
        <w:t xml:space="preserve">[Email]</w:t>
      </w:r>
    </w:p>
    <w:sectPr>
      <w:footerReference w:type="default" r:id="rIdFtr1"/>
      <w:pgSz w:w="12240" w:h="15840"/>
      <w:pgMar w:top="1440" w:right="1440" w:bottom="1440" w:left="1440" w:header="720" w:footer="576"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spacing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w="http://schemas.openxmlformats.org/wordprocessingml/2006/main">
  <w:zoom w:percent="100"/>
  <w:proofState w:spelling="clean" w:grammar="clean"/>
  <w:defaultTabStop w:val="720"/>
  <w:characterSpacingControl w:val="doNotCompress"/>
  <w:footnotePr>
    <w:footnote w:id="-1"/>
    <w:footnote w:id="0"/>
  </w:footnotePr>
  <w:compat>
    <w:compatSetting w:name="compatibilityMode" w:uri="http://schemas.microsoft.com/office/word" w:val="15"/>
  </w:compat>
  <w:themeFontLang w:val="en-GB"/>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rPr>
    </w:rPrDefault>
    <w:pPrDefault>
      <w:pPr>
        <w:spacing w:before="0" w:after="120" w:line="240" w:lineRule="auto"/>
      </w:pPr>
    </w:pPrDefault>
  </w:docDefaults>
  <w:style w:type="paragraph" w:default="1" w:styleId="Normal">
    <w:name w:val="Normal"/>
    <w:qFormat/>
    <w:pPr>
      <w:spacing w:before="0" w:after="120" w:line="240" w:lineRule="auto"/>
    </w:pPr>
    <w:rPr>
      <w:rFonts w:ascii="Times New Roman" w:hAnsi="Times New Roman" w:eastAsia="Times New Roman" w:cs="Times New Roman"/>
      <w:sz w:val="24"/>
      <w:szCs w:val="24"/>
    </w:rPr>
  </w:style>
  <w:style w:type="paragraph" w:styleId="BodyText">
    <w:name w:val="Body Text"/>
    <w:basedOn w:val="Normal"/>
    <w:next w:val="BodyText"/>
    <w:qFormat/>
    <w:pPr>
      <w:spacing w:before="0" w:after="120" w:line="240" w:lineRule="auto"/>
      <w:ind w:firstLine="0"/>
    </w:pPr>
  </w:style>
  <w:style w:type="paragraph" w:styleId="FirstParagraph">
    <w:name w:val="First Paragraph"/>
    <w:basedOn w:val="BodyText"/>
    <w:next w:val="BodyText"/>
    <w:qFormat/>
  </w:style>
  <w:style w:type="paragraph" w:styleId="Compact">
    <w:name w:val="Compact"/>
    <w:basedOn w:val="BodyText"/>
    <w:next w:val="BodyText"/>
    <w:qFormat/>
    <w:pPr>
      <w:spacing w:before="0" w:after="0" w:line="240" w:lineRule="auto"/>
    </w:pPr>
  </w:style>
  <w:style w:type="paragraph" w:styleId="Title">
    <w:name w:val="Title"/>
    <w:basedOn w:val="Normal"/>
    <w:next w:val="BodyText"/>
    <w:qFormat/>
    <w:pPr>
      <w:spacing w:before="0" w:after="240" w:line="240" w:lineRule="auto"/>
      <w:jc w:val="center"/>
    </w:pPr>
    <w:rPr>
      <w:b/>
      <w:sz w:val="28"/>
      <w:szCs w:val="28"/>
    </w:rPr>
  </w:style>
  <w:style w:type="paragraph" w:styleId="Subtitle">
    <w:name w:val="Subtitle"/>
    <w:basedOn w:val="Normal"/>
    <w:next w:val="BodyText"/>
    <w:qFormat/>
    <w:pPr>
      <w:spacing w:before="0" w:after="0" w:line="240" w:lineRule="auto"/>
      <w:jc w:val="center"/>
    </w:pPr>
  </w:style>
  <w:style w:type="paragraph" w:styleId="Author">
    <w:name w:val="Author"/>
    <w:basedOn w:val="Normal"/>
    <w:next w:val="BodyText"/>
    <w:qFormat/>
    <w:pPr>
      <w:spacing w:before="0" w:after="0" w:line="240" w:lineRule="auto"/>
      <w:jc w:val="center"/>
    </w:pPr>
  </w:style>
  <w:style w:type="paragraph" w:styleId="Date">
    <w:name w:val="Date"/>
    <w:basedOn w:val="Normal"/>
    <w:next w:val="BodyText"/>
    <w:qFormat/>
    <w:pPr>
      <w:spacing w:before="0" w:after="0" w:line="240" w:lineRule="auto"/>
      <w:jc w:val="center"/>
    </w:pPr>
  </w:style>
  <w:style w:type="paragraph" w:styleId="Abstract">
    <w:name w:val="Abstract"/>
    <w:basedOn w:val="Normal"/>
    <w:next w:val="BodyText"/>
    <w:qFormat/>
  </w:style>
  <w:style w:type="paragraph" w:styleId="AbstractTitle">
    <w:name w:val="Abstract Title"/>
    <w:basedOn w:val="Normal"/>
    <w:next w:val="BodyText"/>
    <w:qFormat/>
    <w:rPr>
      <w:b/>
    </w:rPr>
  </w:style>
  <w:style w:type="paragraph" w:styleId="Bibliography">
    <w:name w:val="Bibliography"/>
    <w:basedOn w:val="Normal"/>
    <w:next w:val="BodyText"/>
    <w:qFormat/>
    <w:pPr>
      <w:spacing w:before="0" w:after="120" w:line="240" w:lineRule="auto"/>
      <w:ind w:left="720" w:hanging="720"/>
    </w:pPr>
  </w:style>
  <w:style w:type="paragraph" w:styleId="Heading1">
    <w:name w:val="heading 1"/>
    <w:basedOn w:val="Normal"/>
    <w:next w:val="BodyText"/>
    <w:qFormat/>
    <w:pPr>
      <w:keepNext/>
      <w:spacing w:before="240" w:after="0" w:line="240" w:lineRule="auto"/>
      <w:outlineLvl w:val="0"/>
    </w:pPr>
    <w:rPr>
      <w:b/>
    </w:rPr>
  </w:style>
  <w:style w:type="paragraph" w:styleId="Heading2">
    <w:name w:val="heading 2"/>
    <w:basedOn w:val="Normal"/>
    <w:next w:val="BodyText"/>
    <w:qFormat/>
    <w:pPr>
      <w:keepNext/>
      <w:spacing w:before="120" w:after="0" w:line="240" w:lineRule="auto"/>
      <w:outlineLvl w:val="1"/>
    </w:pPr>
    <w:rPr>
      <w:b/>
      <w:i/>
    </w:rPr>
  </w:style>
  <w:style w:type="paragraph" w:styleId="Heading3">
    <w:name w:val="heading 3"/>
    <w:basedOn w:val="Normal"/>
    <w:next w:val="BodyText"/>
    <w:qFormat/>
    <w:pPr>
      <w:keepNext/>
      <w:spacing w:before="120" w:after="0" w:line="240" w:lineRule="auto"/>
      <w:outlineLvl w:val="2"/>
    </w:pPr>
    <w:rPr>
      <w:i/>
    </w:rPr>
  </w:style>
  <w:style w:type="paragraph" w:styleId="Heading4">
    <w:name w:val="heading 4"/>
    <w:basedOn w:val="Normal"/>
    <w:next w:val="BodyText"/>
    <w:qFormat/>
    <w:pPr>
      <w:keepNext/>
      <w:spacing w:before="0" w:after="0" w:line="240" w:lineRule="auto"/>
      <w:outlineLvl w:val="3"/>
    </w:pPr>
    <w:rPr>
      <w:i/>
    </w:rPr>
  </w:style>
  <w:style w:type="paragraph" w:styleId="BlockText">
    <w:name w:val="Block Text"/>
    <w:basedOn w:val="BodyText"/>
    <w:next w:val="BodyText"/>
    <w:qFormat/>
    <w:pPr>
      <w:spacing w:before="0" w:after="120" w:line="240" w:lineRule="auto"/>
      <w:ind w:left="720" w:right="720"/>
    </w:pPr>
  </w:style>
  <w:style w:type="paragraph" w:styleId="TableCaption">
    <w:name w:val="Table Caption"/>
    <w:basedOn w:val="Normal"/>
    <w:next w:val="BodyText"/>
    <w:qFormat/>
    <w:pPr>
      <w:keepNext/>
      <w:spacing w:before="120" w:after="120" w:line="240" w:lineRule="auto"/>
    </w:pPr>
    <w:rPr>
      <w:b/>
    </w:rPr>
  </w:style>
  <w:style w:type="paragraph" w:styleId="Caption">
    <w:name w:val="Caption"/>
    <w:basedOn w:val="Normal"/>
    <w:next w:val="BodyText"/>
    <w:qFormat/>
    <w:pPr>
      <w:spacing w:before="0" w:after="120" w:line="240" w:lineRule="auto"/>
    </w:pPr>
  </w:style>
  <w:style w:type="paragraph" w:styleId="FootnoteText">
    <w:name w:val="footnote text"/>
    <w:basedOn w:val="Normal"/>
    <w:next w:val="BodyText"/>
    <w:qFormat/>
    <w:pPr>
      <w:spacing w:before="0" w:after="0" w:line="240" w:lineRule="auto"/>
    </w:pPr>
    <w:rPr>
      <w:sz w:val="20"/>
    </w:rPr>
  </w:style>
  <w:style w:type="paragraph" w:styleId="TableText">
    <w:name w:val="Table Text"/>
    <w:basedOn w:val="Normal"/>
    <w:next w:val="BodyText"/>
    <w:qFormat/>
    <w:pPr>
      <w:spacing w:before="0" w:after="0" w:line="240" w:lineRule="auto"/>
    </w:pPr>
    <w:rPr>
      <w:sz w:val="20"/>
      <w:szCs w:val="20"/>
    </w:rPr>
  </w:style>
  <w:style w:type="paragraph" w:styleId="Note">
    <w:name w:val="Table Note"/>
    <w:basedOn w:val="Normal"/>
    <w:next w:val="BodyText"/>
    <w:qFormat/>
    <w:pPr>
      <w:spacing w:before="0" w:after="60" w:line="240" w:lineRule="auto"/>
    </w:pPr>
    <w:rPr>
      <w:sz w:val="20"/>
      <w:szCs w:val="20"/>
    </w:rPr>
  </w:style>
  <w:style w:type="character" w:default="1" w:styleId="DefaultParagraphFont">
    <w:name w:val="Default Paragraph Font"/>
    <w:uiPriority w:val="1"/>
    <w:semiHidden/>
  </w:style>
  <w:style w:type="character" w:styleId="BodyTextChar">
    <w:name w:val="Body Text Char"/>
  </w:style>
  <w:style w:type="character" w:styleId="Hyperlink">
    <w:name w:val="Hyperlink"/>
    <w:rPr>
      <w:color w:val="1F4E79"/>
    </w:rPr>
  </w:style>
  <w:style w:type="character" w:styleId="FootnoteReference">
    <w:name w:val="foot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 w:type="table" w:styleId="Table">
    <w:name w:val="Table"/>
    <w:basedOn w:val="TableNormal"/>
    <w:pPr>
      <w:spacing w:before="20" w:after="20" w:line="240" w:lineRule="auto"/>
    </w:pPr>
    <w:rPr>
      <w:sz w:val="20"/>
      <w:szCs w:val="20"/>
    </w:rPr>
    <w:tblPr>
      <w:tblBorders>
        <w:top w:val="single" w:sz="8" w:space="0" w:color="000000"/>
        <w:bottom w:val="single" w:sz="8" w:space="0" w:color="000000"/>
        <w:insideH w:val="single" w:sz="2" w:space="0" w:color="BFBFBF"/>
      </w:tblBorders>
    </w:tblPr>
    <w:tblStylePr w:type="firstRow">
      <w:rPr>
        <w:b/>
      </w:rPr>
      <w:tcPr>
        <w:tcBorders>
          <w:bottom w:val="single" w:sz="8" w:space="0" w:color="000000"/>
        </w:tcBorders>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2026-10-28T00:17:13Z</dcterms:created>
  <dcterms:modified xsi:type="dcterms:W3CDTF">2026-10-28T00:17:13Z</dcterms:modified>
</cp:coreProperties>
</file>

<file path=docProps/custom.xml><?xml version="1.0" encoding="utf-8"?>
<Properties xmlns="http://schemas.openxmlformats.org/officeDocument/2006/custom-properties" xmlns:vt="http://schemas.openxmlformats.org/officeDocument/2006/docPropsVTypes"/>
</file>