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w:t>
      </w:r>
      <w:r>
        <w:t xml:space="preserve"> </w:t>
      </w:r>
      <w:r>
        <w:t xml:space="preserve">Burden</w:t>
      </w:r>
      <w:r>
        <w:t xml:space="preserve"> </w:t>
      </w:r>
      <w:r>
        <w:t xml:space="preserve">of</w:t>
      </w:r>
      <w:r>
        <w:t xml:space="preserve"> </w:t>
      </w:r>
      <w:r>
        <w:t xml:space="preserve">Proof:</w:t>
      </w:r>
      <w:r>
        <w:t xml:space="preserve"> </w:t>
      </w:r>
      <w:r>
        <w:t xml:space="preserve">Unit-Level</w:t>
      </w:r>
      <w:r>
        <w:t xml:space="preserve"> </w:t>
      </w:r>
      <w:r>
        <w:t xml:space="preserve">Nurse</w:t>
      </w:r>
      <w:r>
        <w:t xml:space="preserve"> </w:t>
      </w:r>
      <w:r>
        <w:t xml:space="preserve">Managers’</w:t>
      </w:r>
      <w:r>
        <w:t xml:space="preserve"> </w:t>
      </w:r>
      <w:r>
        <w:t xml:space="preserve">Judgements</w:t>
      </w:r>
      <w:r>
        <w:t xml:space="preserve"> </w:t>
      </w:r>
      <w:r>
        <w:t xml:space="preserve">and</w:t>
      </w:r>
      <w:r>
        <w:t xml:space="preserve"> </w:t>
      </w:r>
      <w:r>
        <w:t xml:space="preserve">Responses</w:t>
      </w:r>
      <w:r>
        <w:t xml:space="preserve"> </w:t>
      </w:r>
      <w:r>
        <w:t xml:space="preserve">to</w:t>
      </w:r>
      <w:r>
        <w:t xml:space="preserve"> </w:t>
      </w:r>
      <w:r>
        <w:t xml:space="preserve">Nurses’</w:t>
      </w:r>
      <w:r>
        <w:t xml:space="preserve"> </w:t>
      </w:r>
      <w:r>
        <w:t xml:space="preserve">Care</w:t>
      </w:r>
      <w:r>
        <w:t xml:space="preserve"> </w:t>
      </w:r>
      <w:r>
        <w:t xml:space="preserve">Concerns</w:t>
      </w:r>
      <w:r>
        <w:t xml:space="preserve"> </w:t>
      </w:r>
      <w:r>
        <w:t xml:space="preserve">When</w:t>
      </w:r>
      <w:r>
        <w:t xml:space="preserve"> </w:t>
      </w:r>
      <w:r>
        <w:t xml:space="preserve">Quality</w:t>
      </w:r>
      <w:r>
        <w:t xml:space="preserve"> </w:t>
      </w:r>
      <w:r>
        <w:t xml:space="preserve">Indicators</w:t>
      </w:r>
      <w:r>
        <w:t xml:space="preserve"> </w:t>
      </w:r>
      <w:r>
        <w:t xml:space="preserve">Appear</w:t>
      </w:r>
      <w:r>
        <w:t xml:space="preserve"> </w:t>
      </w:r>
      <w:r>
        <w:t xml:space="preserve">Reassuring—An</w:t>
      </w:r>
      <w:r>
        <w:t xml:space="preserve"> </w:t>
      </w:r>
      <w:r>
        <w:t xml:space="preserve">Interpretive</w:t>
      </w:r>
      <w:r>
        <w:t xml:space="preserve"> </w:t>
      </w:r>
      <w:r>
        <w:t xml:space="preserve">Description</w:t>
      </w:r>
    </w:p>
    <w:p>
      <w:pPr>
        <w:pStyle w:val="FirstParagraph"/>
      </w:pPr>
      <w:r>
        <w:rPr>
          <w:bCs/>
          <w:b/>
        </w:rPr>
        <w:t xml:space="preserve">Running title:</w:t>
      </w:r>
      <w:r>
        <w:t xml:space="preserve"> </w:t>
      </w:r>
      <w:r>
        <w:t xml:space="preserve">The burden of proof in responding to nurses’ concerns</w:t>
      </w:r>
    </w:p>
    <w:p>
      <w:pPr>
        <w:pStyle w:val="BodyText"/>
      </w:pPr>
      <w:r>
        <w:rPr>
          <w:bCs/>
          <w:b/>
        </w:rPr>
        <w:t xml:space="preserve">Article type:</w:t>
      </w:r>
      <w:r>
        <w:t xml:space="preserve"> </w:t>
      </w:r>
      <w:r>
        <w:t xml:space="preserve">Original research (qualitative)</w:t>
      </w:r>
    </w:p>
    <w:bookmarkStart w:id="20" w:name="authors"/>
    <w:p>
      <w:pPr>
        <w:pStyle w:val="Heading1"/>
      </w:pPr>
      <w:r>
        <w:t xml:space="preserve">Authors</w:t>
      </w:r>
    </w:p>
    <w:p>
      <w:pPr>
        <w:pStyle w:val="FirstParagraph"/>
      </w:pPr>
      <w:r>
        <w:t xml:space="preserve">[Author 1 full name]</w:t>
      </w:r>
      <w:r>
        <w:rPr>
          <w:vertAlign w:val="superscript"/>
        </w:rPr>
        <w:t xml:space="preserve">a,*</w:t>
      </w:r>
      <w:r>
        <w:t xml:space="preserve">, [Author 2 full name]</w:t>
      </w:r>
      <w:r>
        <w:rPr>
          <w:vertAlign w:val="superscript"/>
        </w:rPr>
        <w:t xml:space="preserve">b</w:t>
      </w:r>
      <w:r>
        <w:t xml:space="preserve">, [Author 3 full name]</w:t>
      </w:r>
      <w:r>
        <w:rPr>
          <w:vertAlign w:val="superscript"/>
        </w:rPr>
        <w:t xml:space="preserve">c</w:t>
      </w:r>
    </w:p>
    <w:p>
      <w:pPr>
        <w:pStyle w:val="BodyText"/>
      </w:pPr>
      <w:r>
        <w:rPr>
          <w:vertAlign w:val="superscript"/>
        </w:rPr>
        <w:t xml:space="preserve">a</w:t>
      </w:r>
      <w:r>
        <w:t xml:space="preserve"> </w:t>
      </w:r>
      <w:r>
        <w:t xml:space="preserve">[Department, Institution, City, Country; ORCID]</w:t>
      </w:r>
    </w:p>
    <w:p>
      <w:pPr>
        <w:pStyle w:val="BodyText"/>
      </w:pPr>
      <w:r>
        <w:rPr>
          <w:vertAlign w:val="superscript"/>
        </w:rPr>
        <w:t xml:space="preserve">b</w:t>
      </w:r>
      <w:r>
        <w:t xml:space="preserve"> </w:t>
      </w:r>
      <w:r>
        <w:t xml:space="preserve">[Department, Institution, City, Country; ORCID]</w:t>
      </w:r>
    </w:p>
    <w:p>
      <w:pPr>
        <w:pStyle w:val="BodyText"/>
      </w:pPr>
      <w:r>
        <w:rPr>
          <w:vertAlign w:val="superscript"/>
        </w:rPr>
        <w:t xml:space="preserve">c</w:t>
      </w:r>
      <w:r>
        <w:t xml:space="preserve"> </w:t>
      </w:r>
      <w:r>
        <w:t xml:space="preserve">[Department, Institution, City, Country; ORCID]</w:t>
      </w:r>
    </w:p>
    <w:p>
      <w:pPr>
        <w:pStyle w:val="BodyText"/>
      </w:pPr>
      <w:r>
        <w:t xml:space="preserve">*</w:t>
      </w:r>
      <w:r>
        <w:t xml:space="preserve"> </w:t>
      </w:r>
      <w:r>
        <w:rPr>
          <w:bCs/>
          <w:b/>
        </w:rPr>
        <w:t xml:space="preserve">Corresponding author:</w:t>
      </w:r>
      <w:r>
        <w:t xml:space="preserve"> </w:t>
      </w:r>
      <w:r>
        <w:t xml:space="preserve">[Name], [postal address], [email], [telephone]</w:t>
      </w:r>
    </w:p>
    <w:p>
      <w:pPr>
        <w:pStyle w:val="BodyText"/>
      </w:pPr>
      <w:r>
        <w:t xml:space="preserve">In the anonymised manuscript, the authors are referred to as R1 (Author 1, interviewer and principal investigator), R2 (Author 2) and R3 (Author 3).</w:t>
      </w:r>
    </w:p>
    <w:bookmarkEnd w:id="20"/>
    <w:bookmarkStart w:id="21" w:name="manuscript-details"/>
    <w:p>
      <w:pPr>
        <w:pStyle w:val="Heading1"/>
      </w:pPr>
      <w:r>
        <w:t xml:space="preserve">Manuscript details</w:t>
      </w:r>
    </w:p>
    <w:p>
      <w:pPr>
        <w:pStyle w:val="Compact"/>
        <w:numPr>
          <w:ilvl w:val="0"/>
          <w:numId w:val="1001"/>
        </w:numPr>
      </w:pPr>
      <w:r>
        <w:t xml:space="preserve">Abstract: 248 words including headings (structured: Aim, Background, Methods, Results, Conclusions)</w:t>
      </w:r>
    </w:p>
    <w:p>
      <w:pPr>
        <w:pStyle w:val="Compact"/>
        <w:numPr>
          <w:ilvl w:val="0"/>
          <w:numId w:val="1001"/>
        </w:numPr>
      </w:pPr>
      <w:r>
        <w:t xml:space="preserve">Main text (Introduction to Conclusion, including quotations; excluding tables, figure caption and references): approximately 5,900 words</w:t>
      </w:r>
    </w:p>
    <w:p>
      <w:pPr>
        <w:pStyle w:val="Compact"/>
        <w:numPr>
          <w:ilvl w:val="0"/>
          <w:numId w:val="1001"/>
        </w:numPr>
      </w:pPr>
      <w:r>
        <w:t xml:space="preserve">Tables: 3; Figures: 1; References: 44</w:t>
      </w:r>
    </w:p>
    <w:p>
      <w:pPr>
        <w:pStyle w:val="Compact"/>
        <w:numPr>
          <w:ilvl w:val="0"/>
          <w:numId w:val="1001"/>
        </w:numPr>
      </w:pPr>
      <w:r>
        <w:t xml:space="preserve">Supplementary files: 3 (interview guide; SRQR and COREQ checklists; eligibility, data management and ethics)</w:t>
      </w:r>
    </w:p>
    <w:p>
      <w:pPr>
        <w:pStyle w:val="Compact"/>
        <w:numPr>
          <w:ilvl w:val="0"/>
          <w:numId w:val="1001"/>
        </w:numPr>
      </w:pPr>
      <w:r>
        <w:t xml:space="preserve">Reporting guideline: Standards for Reporting Qualitative Research (SRQR)</w:t>
      </w:r>
    </w:p>
    <w:bookmarkEnd w:id="21"/>
    <w:bookmarkStart w:id="22" w:name="acknowledgements"/>
    <w:p>
      <w:pPr>
        <w:pStyle w:val="Heading1"/>
      </w:pPr>
      <w:r>
        <w:t xml:space="preserve">Acknowledgements</w:t>
      </w:r>
    </w:p>
    <w:p>
      <w:pPr>
        <w:pStyle w:val="FirstParagraph"/>
      </w:pPr>
      <w:r>
        <w:t xml:space="preserve">The authors thank the nurse managers who gave their time and experience; the Directors of Nursing of the participating hospitals for distributing study invitations; the two senior nurse leaders and the qualitative methodologist who reviewed the interview guide; the independent qualitative methodologist who audited the analysis; the bilingual nurse researchers who translated the guide and checked translated quotations; and the transcriptionist.</w:t>
      </w:r>
    </w:p>
    <w:bookmarkEnd w:id="22"/>
    <w:bookmarkStart w:id="23" w:name="credit-authorship-contribution-statement"/>
    <w:p>
      <w:pPr>
        <w:pStyle w:val="Heading1"/>
      </w:pPr>
      <w:r>
        <w:t xml:space="preserve">CRediT authorship contribution statement</w:t>
      </w:r>
    </w:p>
    <w:p>
      <w:pPr>
        <w:pStyle w:val="FirstParagraph"/>
      </w:pPr>
      <w:r>
        <w:rPr>
          <w:bCs/>
          <w:b/>
        </w:rPr>
        <w:t xml:space="preserve">[Author 1]:</w:t>
      </w:r>
      <w:r>
        <w:t xml:space="preserve"> </w:t>
      </w:r>
      <w:r>
        <w:t xml:space="preserve">Conceptualization, Methodology, Investigation, Formal analysis, Data curation, Project administration, Writing – original draft.</w:t>
      </w:r>
      <w:r>
        <w:t xml:space="preserve"> </w:t>
      </w:r>
      <w:r>
        <w:rPr>
          <w:bCs/>
          <w:b/>
        </w:rPr>
        <w:t xml:space="preserve">[Author 2]:</w:t>
      </w:r>
      <w:r>
        <w:t xml:space="preserve"> </w:t>
      </w:r>
      <w:r>
        <w:t xml:space="preserve">Methodology, Formal analysis, Validation, Writing – review &amp; editing.</w:t>
      </w:r>
      <w:r>
        <w:t xml:space="preserve"> </w:t>
      </w:r>
      <w:r>
        <w:rPr>
          <w:bCs/>
          <w:b/>
        </w:rPr>
        <w:t xml:space="preserve">[Author 3]:</w:t>
      </w:r>
      <w:r>
        <w:t xml:space="preserve"> </w:t>
      </w:r>
      <w:r>
        <w:t xml:space="preserve">Conceptualization, Formal analysis, Supervision, Writing – review &amp; editing.</w:t>
      </w:r>
    </w:p>
    <w:bookmarkEnd w:id="23"/>
    <w:bookmarkStart w:id="24" w:name="ethics-approval"/>
    <w:p>
      <w:pPr>
        <w:pStyle w:val="Heading1"/>
      </w:pPr>
      <w:r>
        <w:t xml:space="preserve">Ethics approval</w:t>
      </w:r>
    </w:p>
    <w:p>
      <w:pPr>
        <w:pStyle w:val="FirstParagraph"/>
      </w:pPr>
      <w:r>
        <w:t xml:space="preserve">The Institutional Review Board of King Abdulaziz Specialist Hospital, Aljouf Health Cluster (committee registration H-13-S-161), approved the study on 26 December 2025 (approval No. 9804). All participants gave written informed consent.</w:t>
      </w:r>
    </w:p>
    <w:bookmarkEnd w:id="24"/>
    <w:bookmarkStart w:id="25" w:name="funding"/>
    <w:p>
      <w:pPr>
        <w:pStyle w:val="Heading1"/>
      </w:pPr>
      <w:r>
        <w:t xml:space="preserve">Funding</w:t>
      </w:r>
    </w:p>
    <w:p>
      <w:pPr>
        <w:pStyle w:val="FirstParagraph"/>
      </w:pPr>
      <w:r>
        <w:t xml:space="preserve">This research did not receive any specific grant from funding agencies in the public, commercial, or not-for-profit sectors.</w:t>
      </w:r>
    </w:p>
    <w:bookmarkEnd w:id="25"/>
    <w:bookmarkStart w:id="26" w:name="declaration-of-competing-interest"/>
    <w:p>
      <w:pPr>
        <w:pStyle w:val="Heading1"/>
      </w:pPr>
      <w:r>
        <w:t xml:space="preserve">Declaration of competing interest</w:t>
      </w:r>
    </w:p>
    <w:p>
      <w:pPr>
        <w:pStyle w:val="FirstParagraph"/>
      </w:pPr>
      <w:r>
        <w:t xml:space="preserve">The authors declare that they have no known competing financial interests or personal relationships that could have appeared to influence the work reported in this paper.</w:t>
      </w:r>
    </w:p>
    <w:bookmarkEnd w:id="26"/>
    <w:bookmarkStart w:id="27" w:name="X1f74eb43af444059c7518034463b6c89b1cacf4"/>
    <w:p>
      <w:pPr>
        <w:pStyle w:val="Heading1"/>
      </w:pPr>
      <w:r>
        <w:t xml:space="preserve">Declaration of generative AI and AI-assisted technologies in the manuscript preparation process</w:t>
      </w:r>
    </w:p>
    <w:p>
      <w:pPr>
        <w:pStyle w:val="FirstParagraph"/>
      </w:pPr>
      <w:r>
        <w:t xml:space="preserve">During the preparation of this work the authors used Claude (Anthropic) to improve the structure, clarity and consistency of the manuscript and supplementary files. After using this tool, the authors reviewed and edited the content as needed and take full responsibility for the content of the published article. No generative AI or automated transcription tools were used to collect, transcribe, code or analyse the research data.</w:t>
      </w:r>
    </w:p>
    <w:bookmarkEnd w:id="27"/>
    <w:bookmarkStart w:id="28" w:name="data-availability"/>
    <w:p>
      <w:pPr>
        <w:pStyle w:val="Heading1"/>
      </w:pPr>
      <w:r>
        <w:t xml:space="preserve">Data availability</w:t>
      </w:r>
    </w:p>
    <w:p>
      <w:pPr>
        <w:pStyle w:val="FirstParagraph"/>
      </w:pPr>
      <w:r>
        <w:t xml:space="preserve">Interview transcripts are not publicly available because participants could be identified within a small regional managerial population. The interview guide, reporting checklists and data-management procedures are provided as supplementary files.</w:t>
      </w:r>
    </w:p>
    <w:bookmarkEnd w:id="28"/>
    <w:sectPr>
      <w:footerReference w:type="default" r:id="rIdFtr1"/>
      <w:pgSz w:w="12240" w:h="15840"/>
      <w:pgMar w:top="1440" w:right="1440" w:bottom="1440" w:left="1440" w:header="720" w:footer="576" w:gutter="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w="http://schemas.openxmlformats.org/wordprocessingml/2006/main">
  <w:p>
    <w:pPr>
      <w:suppressLineNumbers/>
      <w:spacing w:line="240" w:lineRule="auto"/>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w="http://schemas.openxmlformats.org/wordprocessingml/2006/main">
  <w:zoom w:percent="100"/>
  <w:proofState w:spelling="clean" w:grammar="clean"/>
  <w:defaultTabStop w:val="720"/>
  <w:characterSpacingControl w:val="doNotCompress"/>
  <w:footnotePr>
    <w:footnote w:id="-1"/>
    <w:footnote w:id="0"/>
  </w:footnotePr>
  <w:compat>
    <w:compatSetting w:name="compatibilityMode" w:uri="http://schemas.microsoft.com/office/word" w:val="15"/>
  </w:compat>
  <w:themeFontLang w:val="en-GB"/>
</w:settings>
</file>

<file path=word/styles.xml><?xml version="1.0" encoding="utf-8"?>
<w:styles xmlns:w="http://schemas.openxmlformats.org/wordprocessingml/2006/main" xmlns:r="http://schemas.openxmlformats.org/officeDocument/2006/relationships">
  <w:docDefaults>
    <w:rPrDefault>
      <w:rPr>
        <w:rFonts w:ascii="Times New Roman" w:hAnsi="Times New Roman" w:eastAsia="Times New Roman" w:cs="Times New Roman"/>
        <w:sz w:val="24"/>
        <w:szCs w:val="24"/>
      </w:rPr>
    </w:rPrDefault>
    <w:pPrDefault>
      <w:pPr>
        <w:spacing w:before="0" w:after="120" w:line="240" w:lineRule="auto"/>
      </w:pPr>
    </w:pPrDefault>
  </w:docDefaults>
  <w:style w:type="paragraph" w:default="1" w:styleId="Normal">
    <w:name w:val="Normal"/>
    <w:qFormat/>
    <w:pPr>
      <w:spacing w:before="0" w:after="120" w:line="240" w:lineRule="auto"/>
    </w:pPr>
    <w:rPr>
      <w:rFonts w:ascii="Times New Roman" w:hAnsi="Times New Roman" w:eastAsia="Times New Roman" w:cs="Times New Roman"/>
      <w:sz w:val="24"/>
      <w:szCs w:val="24"/>
    </w:rPr>
  </w:style>
  <w:style w:type="paragraph" w:styleId="BodyText">
    <w:name w:val="Body Text"/>
    <w:basedOn w:val="Normal"/>
    <w:next w:val="BodyText"/>
    <w:qFormat/>
    <w:pPr>
      <w:spacing w:before="0" w:after="120" w:line="240" w:lineRule="auto"/>
      <w:ind w:firstLine="0"/>
    </w:pPr>
  </w:style>
  <w:style w:type="paragraph" w:styleId="FirstParagraph">
    <w:name w:val="First Paragraph"/>
    <w:basedOn w:val="BodyText"/>
    <w:next w:val="BodyText"/>
    <w:qFormat/>
  </w:style>
  <w:style w:type="paragraph" w:styleId="Compact">
    <w:name w:val="Compact"/>
    <w:basedOn w:val="BodyText"/>
    <w:next w:val="BodyText"/>
    <w:qFormat/>
    <w:pPr>
      <w:spacing w:before="0" w:after="0" w:line="240" w:lineRule="auto"/>
    </w:pPr>
  </w:style>
  <w:style w:type="paragraph" w:styleId="Title">
    <w:name w:val="Title"/>
    <w:basedOn w:val="Normal"/>
    <w:next w:val="BodyText"/>
    <w:qFormat/>
    <w:pPr>
      <w:spacing w:before="0" w:after="240" w:line="240" w:lineRule="auto"/>
      <w:jc w:val="center"/>
    </w:pPr>
    <w:rPr>
      <w:b/>
      <w:sz w:val="28"/>
      <w:szCs w:val="28"/>
    </w:rPr>
  </w:style>
  <w:style w:type="paragraph" w:styleId="Subtitle">
    <w:name w:val="Subtitle"/>
    <w:basedOn w:val="Normal"/>
    <w:next w:val="BodyText"/>
    <w:qFormat/>
    <w:pPr>
      <w:spacing w:before="0" w:after="0" w:line="240" w:lineRule="auto"/>
      <w:jc w:val="center"/>
    </w:pPr>
  </w:style>
  <w:style w:type="paragraph" w:styleId="Author">
    <w:name w:val="Author"/>
    <w:basedOn w:val="Normal"/>
    <w:next w:val="BodyText"/>
    <w:qFormat/>
    <w:pPr>
      <w:spacing w:before="0" w:after="0" w:line="240" w:lineRule="auto"/>
      <w:jc w:val="center"/>
    </w:pPr>
  </w:style>
  <w:style w:type="paragraph" w:styleId="Date">
    <w:name w:val="Date"/>
    <w:basedOn w:val="Normal"/>
    <w:next w:val="BodyText"/>
    <w:qFormat/>
    <w:pPr>
      <w:spacing w:before="0" w:after="0" w:line="240" w:lineRule="auto"/>
      <w:jc w:val="center"/>
    </w:pPr>
  </w:style>
  <w:style w:type="paragraph" w:styleId="Abstract">
    <w:name w:val="Abstract"/>
    <w:basedOn w:val="Normal"/>
    <w:next w:val="BodyText"/>
    <w:qFormat/>
  </w:style>
  <w:style w:type="paragraph" w:styleId="AbstractTitle">
    <w:name w:val="Abstract Title"/>
    <w:basedOn w:val="Normal"/>
    <w:next w:val="BodyText"/>
    <w:qFormat/>
    <w:rPr>
      <w:b/>
    </w:rPr>
  </w:style>
  <w:style w:type="paragraph" w:styleId="Bibliography">
    <w:name w:val="Bibliography"/>
    <w:basedOn w:val="Normal"/>
    <w:next w:val="BodyText"/>
    <w:qFormat/>
    <w:pPr>
      <w:spacing w:before="0" w:after="120" w:line="240" w:lineRule="auto"/>
      <w:ind w:left="720" w:hanging="720"/>
    </w:pPr>
  </w:style>
  <w:style w:type="paragraph" w:styleId="Heading1">
    <w:name w:val="heading 1"/>
    <w:basedOn w:val="Normal"/>
    <w:next w:val="BodyText"/>
    <w:qFormat/>
    <w:pPr>
      <w:keepNext/>
      <w:spacing w:before="240" w:after="0" w:line="240" w:lineRule="auto"/>
      <w:outlineLvl w:val="0"/>
    </w:pPr>
    <w:rPr>
      <w:b/>
    </w:rPr>
  </w:style>
  <w:style w:type="paragraph" w:styleId="Heading2">
    <w:name w:val="heading 2"/>
    <w:basedOn w:val="Normal"/>
    <w:next w:val="BodyText"/>
    <w:qFormat/>
    <w:pPr>
      <w:keepNext/>
      <w:spacing w:before="120" w:after="0" w:line="240" w:lineRule="auto"/>
      <w:outlineLvl w:val="1"/>
    </w:pPr>
    <w:rPr>
      <w:b/>
      <w:i/>
    </w:rPr>
  </w:style>
  <w:style w:type="paragraph" w:styleId="Heading3">
    <w:name w:val="heading 3"/>
    <w:basedOn w:val="Normal"/>
    <w:next w:val="BodyText"/>
    <w:qFormat/>
    <w:pPr>
      <w:keepNext/>
      <w:spacing w:before="120" w:after="0" w:line="240" w:lineRule="auto"/>
      <w:outlineLvl w:val="2"/>
    </w:pPr>
    <w:rPr>
      <w:i/>
    </w:rPr>
  </w:style>
  <w:style w:type="paragraph" w:styleId="Heading4">
    <w:name w:val="heading 4"/>
    <w:basedOn w:val="Normal"/>
    <w:next w:val="BodyText"/>
    <w:qFormat/>
    <w:pPr>
      <w:keepNext/>
      <w:spacing w:before="0" w:after="0" w:line="240" w:lineRule="auto"/>
      <w:outlineLvl w:val="3"/>
    </w:pPr>
    <w:rPr>
      <w:i/>
    </w:rPr>
  </w:style>
  <w:style w:type="paragraph" w:styleId="BlockText">
    <w:name w:val="Block Text"/>
    <w:basedOn w:val="BodyText"/>
    <w:next w:val="BodyText"/>
    <w:qFormat/>
    <w:pPr>
      <w:spacing w:before="0" w:after="120" w:line="240" w:lineRule="auto"/>
      <w:ind w:left="720" w:right="720"/>
    </w:pPr>
  </w:style>
  <w:style w:type="paragraph" w:styleId="TableCaption">
    <w:name w:val="Table Caption"/>
    <w:basedOn w:val="Normal"/>
    <w:next w:val="BodyText"/>
    <w:qFormat/>
    <w:pPr>
      <w:keepNext/>
      <w:spacing w:before="120" w:after="120" w:line="240" w:lineRule="auto"/>
    </w:pPr>
    <w:rPr>
      <w:b/>
    </w:rPr>
  </w:style>
  <w:style w:type="paragraph" w:styleId="Caption">
    <w:name w:val="Caption"/>
    <w:basedOn w:val="Normal"/>
    <w:next w:val="BodyText"/>
    <w:qFormat/>
    <w:pPr>
      <w:spacing w:before="0" w:after="120" w:line="240" w:lineRule="auto"/>
    </w:pPr>
  </w:style>
  <w:style w:type="paragraph" w:styleId="FootnoteText">
    <w:name w:val="footnote text"/>
    <w:basedOn w:val="Normal"/>
    <w:next w:val="BodyText"/>
    <w:qFormat/>
    <w:pPr>
      <w:spacing w:before="0" w:after="0" w:line="240" w:lineRule="auto"/>
    </w:pPr>
    <w:rPr>
      <w:sz w:val="20"/>
    </w:rPr>
  </w:style>
  <w:style w:type="paragraph" w:styleId="TableText">
    <w:name w:val="Table Text"/>
    <w:basedOn w:val="Normal"/>
    <w:next w:val="BodyText"/>
    <w:qFormat/>
    <w:pPr>
      <w:spacing w:before="0" w:after="0" w:line="240" w:lineRule="auto"/>
    </w:pPr>
    <w:rPr>
      <w:sz w:val="20"/>
      <w:szCs w:val="20"/>
    </w:rPr>
  </w:style>
  <w:style w:type="paragraph" w:styleId="Note">
    <w:name w:val="Table Note"/>
    <w:basedOn w:val="Normal"/>
    <w:next w:val="BodyText"/>
    <w:qFormat/>
    <w:pPr>
      <w:spacing w:before="0" w:after="60" w:line="240" w:lineRule="auto"/>
    </w:pPr>
    <w:rPr>
      <w:sz w:val="20"/>
      <w:szCs w:val="20"/>
    </w:rPr>
  </w:style>
  <w:style w:type="character" w:default="1" w:styleId="DefaultParagraphFont">
    <w:name w:val="Default Paragraph Font"/>
    <w:uiPriority w:val="1"/>
    <w:semiHidden/>
  </w:style>
  <w:style w:type="character" w:styleId="BodyTextChar">
    <w:name w:val="Body Text Char"/>
  </w:style>
  <w:style w:type="character" w:styleId="Hyperlink">
    <w:name w:val="Hyperlink"/>
    <w:rPr>
      <w:color w:val="1F4E79"/>
    </w:rPr>
  </w:style>
  <w:style w:type="character" w:styleId="FootnoteReference">
    <w:name w:val="footnote reference"/>
    <w:rPr>
      <w:vertAlign w:val="superscript"/>
    </w:rPr>
  </w:style>
  <w:style w:type="table" w:default="1" w:styleId="TableNormal">
    <w:name w:val="Normal Table"/>
    <w:tblPr>
      <w:tblInd w:w="0" w:type="dxa"/>
      <w:tblCellMar>
        <w:top w:w="0" w:type="dxa"/>
        <w:left w:w="108" w:type="dxa"/>
        <w:bottom w:w="0" w:type="dxa"/>
        <w:right w:w="108" w:type="dxa"/>
      </w:tblCellMar>
    </w:tblPr>
  </w:style>
  <w:style w:type="table" w:styleId="Table">
    <w:name w:val="Table"/>
    <w:basedOn w:val="TableNormal"/>
    <w:pPr>
      <w:spacing w:before="20" w:after="20" w:line="240" w:lineRule="auto"/>
    </w:pPr>
    <w:rPr>
      <w:sz w:val="20"/>
      <w:szCs w:val="20"/>
    </w:rPr>
    <w:tblPr>
      <w:tblBorders>
        <w:top w:val="single" w:sz="8" w:space="0" w:color="000000"/>
        <w:bottom w:val="single" w:sz="8" w:space="0" w:color="000000"/>
        <w:insideH w:val="single" w:sz="2" w:space="0" w:color="BFBFBF"/>
      </w:tblBorders>
    </w:tblPr>
    <w:tblStylePr w:type="firstRow">
      <w:rPr>
        <w:b/>
      </w:rPr>
      <w:tcPr>
        <w:tcBorders>
          <w:bottom w:val="single" w:sz="8" w:space="0" w:color="000000"/>
        </w:tcBorders>
      </w:tcPr>
    </w:tblStyle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Ftr1" Type="http://schemas.openxmlformats.org/officeDocument/2006/relationships/footer" Target="footer1.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Burden of Proof: Unit-Level Nurse Managers’ Judgements and Responses to Nurses’ Care Concerns When Quality Indicators Appear Reassuring—An Interpretive Description</dc:title>
  <dc:creator/>
  <cp:keywords/>
  <dcterms:created xsi:type="dcterms:W3CDTF">2026-10-28T00:17:13Z</dcterms:created>
  <dcterms:modified xsi:type="dcterms:W3CDTF">2026-10-28T00:17:13Z</dcterms:modified>
</cp:coreProperties>
</file>

<file path=docProps/custom.xml><?xml version="1.0" encoding="utf-8"?>
<Properties xmlns="http://schemas.openxmlformats.org/officeDocument/2006/custom-properties" xmlns:vt="http://schemas.openxmlformats.org/officeDocument/2006/docPropsVTypes"/>
</file>