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File 1</w:t>
      </w:r>
    </w:p>
    <w:p>
      <w:pPr>
        <w:pStyle w:val="Subtitle"/>
      </w:pPr>
      <w:r>
        <w:t>Interview Guide and Data Collection Instruments</w:t>
      </w:r>
    </w:p>
    <w:p>
      <w:pPr/>
      <w:r>
        <w:t>Study: The Burden of Proof: Unit-Level Nurse Managers’ Judgements and Responses to Nurses’ Care Concerns When Quality Indicators Appear Reassuring—An Interpretive Description</w:t>
      </w:r>
    </w:p>
    <w:p>
      <w:pPr/>
      <w:r>
        <w:t>Ethics approval: Institutional Review Board, King Abdulaziz Specialist Hospital, Aljouf Health Cluster (committee registration H-13-S-161); approval No. 9804, 26 December 2025.</w:t>
      </w:r>
    </w:p>
    <w:p>
      <w:pPr>
        <w:pStyle w:val="Heading1"/>
      </w:pPr>
      <w:r>
        <w:t>S1.1 Purpose and use of the interview guide</w:t>
      </w:r>
    </w:p>
    <w:p>
      <w:pPr/>
      <w:r>
        <w:t>The guide supported one semi-structured interview with each unit-level nurse manager (n = 23; January–June 2026). It was developed from the four study objectives, literature available during development and the sensitising concepts of soft intelligence, problem-sensing versus comfort-seeking, and burden of proof. These concepts informed probes without determining a coding framework. The questions below reproduce the instrument used, including the documented refinements; the conceptual terms were not introduced to participants as labels.</w:t>
      </w:r>
    </w:p>
    <w:p>
      <w:pPr/>
      <w:r>
        <w:t>Notes for the interviewer:</w:t>
      </w:r>
    </w:p>
    <w:p>
      <w:pPr>
        <w:pStyle w:val="ListBullet"/>
      </w:pPr>
      <w:r>
        <w:t>Anchor the interview in concrete, recent incidents using prompts informed by the critical incident technique (Flanagan, 1954) rather than in general accounts of policy or “how things should be done”.</w:t>
      </w:r>
    </w:p>
    <w:p>
      <w:pPr>
        <w:pStyle w:val="ListBullet"/>
      </w:pPr>
      <w:r>
        <w:t>Follow the participant’s account. The order of sections is flexible, and probes are prompts to use only where the account has not already covered a point.</w:t>
      </w:r>
    </w:p>
    <w:p>
      <w:pPr>
        <w:pStyle w:val="ListBullet"/>
      </w:pPr>
      <w:r>
        <w:t>Take a non-evaluative stance. The study does not assess individual performance, and both “successful” and “difficult” incidents are equally valuable.</w:t>
      </w:r>
    </w:p>
    <w:p>
      <w:pPr>
        <w:pStyle w:val="ListBullet"/>
      </w:pPr>
      <w:r>
        <w:t>Stay open to concerns that were accepted without further substantiation, as well as those that prompted further investigation.</w:t>
      </w:r>
    </w:p>
    <w:p>
      <w:pPr>
        <w:pStyle w:val="ListBullet"/>
      </w:pPr>
      <w:r>
        <w:t>Use clarifying probes rather than assuming shared meaning, for example: “What do you mean by ‘proof’ here?”</w:t>
      </w:r>
    </w:p>
    <w:p>
      <w:pPr>
        <w:pStyle w:val="ListBullet"/>
      </w:pPr>
      <w:r>
        <w:t>Remind participants not to name patients or colleagues. If an identifier is mentioned, it is removed during transcription.</w:t>
      </w:r>
    </w:p>
    <w:p>
      <w:pPr>
        <w:pStyle w:val="ListBullet"/>
      </w:pPr>
      <w:r>
        <w:t>Conduct the interview in Arabic or English according to the participant’s choice. Follow the participant if they move between languages.</w:t>
      </w:r>
    </w:p>
    <w:p>
      <w:pPr>
        <w:pStyle w:val="ListBullet"/>
      </w:pPr>
      <w:r>
        <w:t>Target duration is about 60 minutes. Completed interviews lasted 42–81 minutes (mean 58).</w:t>
      </w:r>
    </w:p>
    <w:p>
      <w:pPr>
        <w:pStyle w:val="Heading1"/>
      </w:pPr>
      <w:r>
        <w:t>S1.2 Key terms used during interviews</w:t>
      </w:r>
    </w:p>
    <w:p>
      <w:pPr/>
      <w:r>
        <w:t>Working definitions supported use of the guide. Substantiation was an interviewer-only term; participants’ own wording was followed.</w:t>
      </w:r>
    </w:p>
    <w:tbl>
      <w:tblPr>
        <w:tblW w:type="dxa" w:w="9026"/>
        <w:jc w:val="center"/>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2016"/>
        <w:gridCol w:w="7344"/>
      </w:tblGrid>
      <w:tr>
        <w:trPr>
          <w:tblHeader/>
          <w:cantSplit/>
          <w:tblHeader/>
        </w:trPr>
        <w:tc>
          <w:tcPr>
            <w:tcW w:type="dxa" w:w="201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E7E6E6"/>
          </w:tcPr>
          <w:p>
            <w:pPr>
              <w:keepNext w:val="0"/>
              <w:spacing w:after="60" w:before="40" w:line="252" w:lineRule="auto"/>
            </w:pPr>
            <w:r>
              <w:rPr>
                <w:rFonts w:ascii="Times New Roman" w:cs="Calibri" w:eastAsia="Calibri" w:hAnsi="Times New Roman"/>
                <w:b/>
                <w:bCs/>
                <w:color w:val="000000"/>
                <w:sz w:val="21"/>
                <w:szCs w:val="19"/>
              </w:rPr>
              <w:t>Term</w:t>
            </w:r>
          </w:p>
        </w:tc>
        <w:tc>
          <w:tcPr>
            <w:tcW w:type="dxa" w:w="734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E7E6E6"/>
          </w:tcPr>
          <w:p>
            <w:pPr>
              <w:keepNext w:val="0"/>
              <w:spacing w:after="60" w:before="40" w:line="252" w:lineRule="auto"/>
            </w:pPr>
            <w:r>
              <w:rPr>
                <w:rFonts w:ascii="Times New Roman" w:cs="Calibri" w:eastAsia="Calibri" w:hAnsi="Times New Roman"/>
                <w:b/>
                <w:bCs/>
                <w:color w:val="000000"/>
                <w:sz w:val="21"/>
                <w:szCs w:val="19"/>
              </w:rPr>
              <w:t>Working definition</w:t>
            </w:r>
          </w:p>
        </w:tc>
      </w:tr>
      <w:tr>
        <w:trPr>
          <w:cantSplit/>
        </w:trPr>
        <w:tc>
          <w:tcPr>
            <w:tcW w:type="dxa" w:w="201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bCs/>
                <w:color w:val="000000"/>
                <w:sz w:val="21"/>
                <w:szCs w:val="19"/>
              </w:rPr>
              <w:t>Care concern</w:t>
            </w:r>
          </w:p>
        </w:tc>
        <w:tc>
          <w:tcPr>
            <w:tcW w:type="dxa" w:w="734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Any worry raised by a nurse, formally or informally, about the quality or safety of patient care on the unit. Examples include staffing adequacy, missed or delayed care, patient deterioration, equipment, and clinical or professional practice.</w:t>
            </w:r>
          </w:p>
        </w:tc>
      </w:tr>
      <w:tr>
        <w:trPr>
          <w:cantSplit/>
        </w:trPr>
        <w:tc>
          <w:tcPr>
            <w:tcW w:type="dxa" w:w="201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bCs/>
                <w:color w:val="000000"/>
                <w:sz w:val="21"/>
                <w:szCs w:val="19"/>
              </w:rPr>
              <w:t>Quality indicators</w:t>
            </w:r>
          </w:p>
        </w:tc>
        <w:tc>
          <w:tcPr>
            <w:tcW w:type="dxa" w:w="734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Routinely reported unit or organisational measures of care quality and patient safety, such as falls, hospital-acquired pressure injuries, device-associated infections, medication-administration incidents, incident-reporting counts and patient-experience scores.</w:t>
            </w:r>
          </w:p>
        </w:tc>
      </w:tr>
      <w:tr>
        <w:trPr>
          <w:cantSplit/>
        </w:trPr>
        <w:tc>
          <w:tcPr>
            <w:tcW w:type="dxa" w:w="201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bCs/>
                <w:color w:val="000000"/>
                <w:sz w:val="21"/>
                <w:szCs w:val="19"/>
              </w:rPr>
              <w:t>Reassuring indicators</w:t>
            </w:r>
          </w:p>
        </w:tc>
        <w:tc>
          <w:tcPr>
            <w:tcW w:type="dxa" w:w="734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Indicator results that the manager interprets as satisfactory against organisational targets or benchmarks, for example a “green” dashboard.</w:t>
            </w:r>
          </w:p>
        </w:tc>
      </w:tr>
      <w:tr>
        <w:trPr>
          <w:cantSplit/>
        </w:trPr>
        <w:tc>
          <w:tcPr>
            <w:tcW w:type="dxa" w:w="201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bCs/>
                <w:color w:val="000000"/>
                <w:sz w:val="21"/>
                <w:szCs w:val="19"/>
              </w:rPr>
              <w:t>Substantiation</w:t>
            </w:r>
          </w:p>
        </w:tc>
        <w:tc>
          <w:tcPr>
            <w:tcW w:type="dxa" w:w="734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Any further information sought, or expected from others, before a concern is acted on. This term was used by the interviewer only; participants’ own wording was followed.</w:t>
            </w:r>
          </w:p>
        </w:tc>
      </w:tr>
    </w:tbl>
    <w:p>
      <w:pPr>
        <w:pStyle w:val="Heading1"/>
      </w:pPr>
      <w:r>
        <w:t>S1.3 Opening script</w:t>
      </w:r>
    </w:p>
    <w:p>
      <w:pPr/>
      <w:r>
        <w:t>Read or paraphrased before recording begins. Written consent was obtained before the interview.</w:t>
      </w:r>
    </w:p>
    <w:p>
      <w:pPr>
        <w:pStyle w:val="ListBullet"/>
      </w:pPr>
      <w:r>
        <w:t>Thank you for agreeing to take part. As explained in the information sheet, this study looks at how unit nurse managers think about and respond to concerns that nurses raise about patient care, particularly when the unit’s quality indicators look satisfactory.</w:t>
      </w:r>
    </w:p>
    <w:p>
      <w:pPr>
        <w:pStyle w:val="ListBullet"/>
      </w:pPr>
      <w:r>
        <w:t>I am not evaluating you, your unit or your hospital. There are no right or wrong answers. I am interested in real examples, including ones that went well and ones that were difficult.</w:t>
      </w:r>
    </w:p>
    <w:p>
      <w:pPr>
        <w:pStyle w:val="ListBullet"/>
      </w:pPr>
      <w:r>
        <w:t>Your Director of Nursing has not been told who is taking part, and nothing you say will be shared with your employer. In any report, you will be identified only by a code, such as P07 and H3.</w:t>
      </w:r>
    </w:p>
    <w:p>
      <w:pPr>
        <w:pStyle w:val="ListBullet"/>
      </w:pPr>
      <w:r>
        <w:t>Please do not use the names of patients or colleagues. If a name is mentioned, it will be removed from the transcript.</w:t>
      </w:r>
    </w:p>
    <w:p>
      <w:pPr>
        <w:pStyle w:val="ListBullet"/>
      </w:pPr>
      <w:r>
        <w:t>There is one limit to confidentiality. If you describe an ongoing, unaddressed risk of serious harm to patients, I will encourage you to use your hospital’s reporting channels.</w:t>
      </w:r>
    </w:p>
    <w:p>
      <w:pPr>
        <w:pStyle w:val="ListBullet"/>
      </w:pPr>
      <w:r>
        <w:t>You can pause or stop at any time, skip any question, and withdraw your data without giving a reason until 14 days after today.</w:t>
      </w:r>
    </w:p>
    <w:p>
      <w:pPr>
        <w:pStyle w:val="ListBullet"/>
      </w:pPr>
      <w:r>
        <w:t>The interview will take about an hour. With your permission, I will now start the recording.</w:t>
      </w:r>
    </w:p>
    <w:p>
      <w:pPr/>
      <w:r>
        <w:t>Once recording has started: “Can you confirm that you agree to this interview being audio-recorded?”</w:t>
      </w:r>
    </w:p>
    <w:p>
      <w:pPr/>
      <w:r>
        <w:t>Note: the opening script is reproduced as administered. Although its fifth point was worded as a “limit to confidentiality”, it described the approved safety-response procedure: the interviewer would encourage the participant to use the hospital’s reporting channels. It did not permit disclosure by the researchers, and the approved information sheet and consent form specified no exceptions to confidentiality (Supplementary File 3, S3.5). No such disclosure occurred.</w:t>
      </w:r>
    </w:p>
    <w:p>
      <w:pPr>
        <w:pStyle w:val="Heading1"/>
      </w:pPr>
      <w:r>
        <w:t>S1.4 Interview guide (English)</w:t>
      </w:r>
    </w:p>
    <w:p>
      <w:pPr/>
      <w:r>
        <w:t>Objectives: (1) interpretation of concerns alongside indicators and contextual information; (2) whether further substantiation is sought, what is sought and who is expected to obtain it; (3) investigation, action, escalation, follow-up and feedback; (4) organisational conditions shaping judgements and capacity to respond.</w:t>
      </w:r>
    </w:p>
    <w:p>
      <w:pPr>
        <w:pStyle w:val="Heading2"/>
      </w:pPr>
      <w:r>
        <w:t>Section A — The unit and its quality information (about 10 minutes)</w:t>
      </w:r>
    </w:p>
    <w:p>
      <w:pPr>
        <w:pStyle w:val="Heading3"/>
      </w:pPr>
      <w:r>
        <w:t>A1  (Objectives 4)</w:t>
      </w:r>
    </w:p>
    <w:p>
      <w:r>
        <w:t>Could you tell me about your unit and your role as its manager?</w:t>
      </w:r>
    </w:p>
    <w:p>
      <w:r>
        <w:t>Patient population, acuity and bed capacity</w:t>
      </w:r>
    </w:p>
    <w:p>
      <w:r>
        <w:t>Staffing and skill mix</w:t>
      </w:r>
    </w:p>
    <w:p>
      <w:r>
        <w:t>Time in the role and route into it</w:t>
      </w:r>
    </w:p>
    <w:p>
      <w:pPr>
        <w:pStyle w:val="Heading3"/>
      </w:pPr>
      <w:r>
        <w:t>A2  (Objectives 1, 4)</w:t>
      </w:r>
    </w:p>
    <w:p>
      <w:r>
        <w:t>Which quality indicators does your unit report, and how do you use them in your day-to-day management?</w:t>
      </w:r>
    </w:p>
    <w:p>
      <w:r>
        <w:t>Dashboard format and how often you review it</w:t>
      </w:r>
    </w:p>
    <w:p>
      <w:r>
        <w:t>Who reviews the results with you</w:t>
      </w:r>
    </w:p>
    <w:p>
      <w:r>
        <w:t>What counts as a “good month”; targets and benchmarks</w:t>
      </w:r>
    </w:p>
    <w:p>
      <w:r>
        <w:t>How much you trust the data, and why</w:t>
      </w:r>
    </w:p>
    <w:p>
      <w:pPr>
        <w:pStyle w:val="Heading3"/>
      </w:pPr>
      <w:r>
        <w:t>A3  (Objectives 1)</w:t>
      </w:r>
    </w:p>
    <w:p>
      <w:r>
        <w:t>Apart from the indicators, how do you usually come to know how care is going on your unit?</w:t>
      </w:r>
    </w:p>
    <w:p>
      <w:r>
        <w:t>Rounds, handovers and conversations with nurses</w:t>
      </w:r>
    </w:p>
    <w:p>
      <w:r>
        <w:t>Feedback from patients and families</w:t>
      </w:r>
    </w:p>
    <w:p>
      <w:r>
        <w:t>Other informal sources</w:t>
      </w:r>
    </w:p>
    <w:p>
      <w:pPr>
        <w:pStyle w:val="Heading2"/>
      </w:pPr>
      <w:r>
        <w:t>Section B — A concern raised when indicators looked reassuring (about 20–25 minutes; core section)</w:t>
      </w:r>
    </w:p>
    <w:p>
      <w:pPr>
        <w:pStyle w:val="Heading3"/>
      </w:pPr>
      <w:r>
        <w:t>B1  (Objectives 1, 2, 3)</w:t>
      </w:r>
    </w:p>
    <w:p>
      <w:r>
        <w:t>Please think of a recent occasion, within the past 12 months, when a nurse on your unit raised a concern about patient care at a time when your quality indicators looked satisfactory. Could you walk me through what happened, without using any names?</w:t>
      </w:r>
    </w:p>
    <w:p>
      <w:r>
        <w:t>Procedural note: If a manager could not recall a qualifying occasion, the interviewer invited the closest comparable occasion and continued with the contrasting-occasion and expectations questions. This note describes the procedure reported in Methods; it does not alter the administered question.</w:t>
      </w:r>
    </w:p>
    <w:p>
      <w:r>
        <w:t>Receiving: How and where was the concern raised? Who raised it (role and experience, not name)? What exactly was said?</w:t>
      </w:r>
    </w:p>
    <w:p>
      <w:r>
        <w:t>Interpreting: What was your first reaction? How did you weigh the concern against what the indicators showed? What made it seem more or less credible? Did anything about the person raising it affect how you saw it?</w:t>
      </w:r>
    </w:p>
    <w:p>
      <w:r>
        <w:t>Substantiation: Did you need more information before acting? What kind? Who obtained it: you, the nurse or someone else, and why that person? How long did it take? What would have been “enough”?</w:t>
      </w:r>
    </w:p>
    <w:p>
      <w:r>
        <w:t>Documentation (added v1.3): Did you ask the nurse to write the concern down or submit an incident report? Why, and what difference did that make?</w:t>
      </w:r>
    </w:p>
    <w:p>
      <w:r>
        <w:t>Acting and escalating: What did you decide to do: investigate, act, escalate or wait? If you escalated, to whom? What did they ask for?</w:t>
      </w:r>
    </w:p>
    <w:p>
      <w:r>
        <w:t>Following up: What happened next? Did the indicators later change? Did you go back to the nurse, and if so how, when and with what message?</w:t>
      </w:r>
    </w:p>
    <w:p>
      <w:r>
        <w:t>Reflection: Looking back, would you handle it differently? Why?</w:t>
      </w:r>
    </w:p>
    <w:p>
      <w:pPr>
        <w:pStyle w:val="Heading2"/>
      </w:pPr>
      <w:r>
        <w:t>Section C — A contrasting occasion (about 10 minutes)</w:t>
      </w:r>
    </w:p>
    <w:p>
      <w:pPr>
        <w:pStyle w:val="Heading3"/>
      </w:pPr>
      <w:r>
        <w:t>C1  (Objectives 1, 2, 3)</w:t>
      </w:r>
    </w:p>
    <w:p>
      <w:r>
        <w:t>Can you think of a different occasion when a concern was handled differently? For example, you acted straight away without further checking, or the concern was not taken further.</w:t>
      </w:r>
    </w:p>
    <w:p>
      <w:r>
        <w:t>What made this occasion different?</w:t>
      </w:r>
    </w:p>
    <w:p>
      <w:r>
        <w:t>What did you decide, and why?</w:t>
      </w:r>
    </w:p>
    <w:p>
      <w:r>
        <w:t>What, if anything, was the nurse told?</w:t>
      </w:r>
    </w:p>
    <w:p>
      <w:r>
        <w:t>Looking at the two examples together, what explains the difference?</w:t>
      </w:r>
    </w:p>
    <w:p>
      <w:pPr>
        <w:pStyle w:val="Heading2"/>
      </w:pPr>
      <w:r>
        <w:t>Section D — Expectations about evidence and responsibility (about 10 minutes)</w:t>
      </w:r>
    </w:p>
    <w:p>
      <w:pPr>
        <w:pStyle w:val="Heading3"/>
      </w:pPr>
      <w:r>
        <w:t>D1  (Objectives 2)</w:t>
      </w:r>
    </w:p>
    <w:p>
      <w:r>
        <w:t>When a nurse brings you a concern that the indicators do not show, what usually needs to be in place for you to act on it?</w:t>
      </w:r>
    </w:p>
    <w:p>
      <w:r>
        <w:t>Kinds of information: written reports, your own observation, patient records, patient or family feedback, several staff saying the same</w:t>
      </w:r>
    </w:p>
    <w:p>
      <w:r>
        <w:t>Does this differ by type of concern, such as staffing, deterioration, equipment or practice?</w:t>
      </w:r>
    </w:p>
    <w:p>
      <w:r>
        <w:t>Does it differ by who raises the concern?</w:t>
      </w:r>
    </w:p>
    <w:p>
      <w:pPr>
        <w:pStyle w:val="Heading3"/>
      </w:pPr>
      <w:r>
        <w:t>D2  (Objectives 2)</w:t>
      </w:r>
    </w:p>
    <w:p>
      <w:r>
        <w:t>In your experience, whose job is it to show that a concern is real?</w:t>
      </w:r>
    </w:p>
    <w:p>
      <w:r>
        <w:t>The nurse, the manager, the quality department or others</w:t>
      </w:r>
    </w:p>
    <w:p>
      <w:r>
        <w:t>How are these expectations communicated to nurses, formally or informally?</w:t>
      </w:r>
    </w:p>
    <w:p>
      <w:pPr>
        <w:pStyle w:val="Heading3"/>
      </w:pPr>
      <w:r>
        <w:t>D3  (Objectives 2, 4)</w:t>
      </w:r>
    </w:p>
    <w:p>
      <w:r>
        <w:t>Have you ever taken a concern to senior managers or a quality meeting when your own indicators did not support it? What happened?</w:t>
      </w:r>
    </w:p>
    <w:p>
      <w:r>
        <w:t>What were you asked to provide?</w:t>
      </w:r>
    </w:p>
    <w:p>
      <w:r>
        <w:t>How did that shape what you ask of nurses?</w:t>
      </w:r>
    </w:p>
    <w:p>
      <w:pPr>
        <w:pStyle w:val="Heading2"/>
      </w:pPr>
      <w:r>
        <w:t>Section E — Organisational conditions (about 10 minutes)</w:t>
      </w:r>
    </w:p>
    <w:p>
      <w:pPr>
        <w:pStyle w:val="Heading3"/>
      </w:pPr>
      <w:r>
        <w:t>E1  (Objectives 4)</w:t>
      </w:r>
    </w:p>
    <w:p>
      <w:r>
        <w:t>What in your hospital makes it easier or harder to respond to concerns like these?</w:t>
      </w:r>
    </w:p>
    <w:p>
      <w:r>
        <w:t>Staffing and time</w:t>
      </w:r>
    </w:p>
    <w:p>
      <w:r>
        <w:t>Your authority over resources</w:t>
      </w:r>
    </w:p>
    <w:p>
      <w:r>
        <w:t>Reporting systems</w:t>
      </w:r>
    </w:p>
    <w:p>
      <w:r>
        <w:t>Accreditation and inspection cycles</w:t>
      </w:r>
    </w:p>
    <w:p>
      <w:r>
        <w:t>Senior-leadership expectations</w:t>
      </w:r>
    </w:p>
    <w:p>
      <w:r>
        <w:t>Workforce diversity and language</w:t>
      </w:r>
    </w:p>
    <w:p>
      <w:pPr>
        <w:pStyle w:val="Heading3"/>
      </w:pPr>
      <w:r>
        <w:t>E2  (Objectives 3, 4)</w:t>
      </w:r>
    </w:p>
    <w:p>
      <w:r>
        <w:t>How, if at all, are concerns that are not reflected in the indicators discussed in quality meetings?</w:t>
      </w:r>
    </w:p>
    <w:p>
      <w:r>
        <w:t>Is there space on the agenda for them?</w:t>
      </w:r>
    </w:p>
    <w:p>
      <w:r>
        <w:t>Who decides what is discussed?</w:t>
      </w:r>
    </w:p>
    <w:p>
      <w:r>
        <w:t>How are such discussions recorded?</w:t>
      </w:r>
    </w:p>
    <w:p>
      <w:pPr>
        <w:pStyle w:val="Heading3"/>
      </w:pPr>
      <w:r>
        <w:t>E3  (Objectives 1, 2, 3)</w:t>
      </w:r>
    </w:p>
    <w:p>
      <w:r>
        <w:t>(Added v1.2) Do nurses ever raise concerns through informal channels, such as messaging applications or corridor conversations? How do you treat concerns raised this way compared with formal reports?</w:t>
      </w:r>
    </w:p>
    <w:p>
      <w:r>
        <w:t>How are they recorded or followed up?</w:t>
      </w:r>
    </w:p>
    <w:p>
      <w:r>
        <w:t>Do they carry the same weight as formal reports?</w:t>
      </w:r>
    </w:p>
    <w:p>
      <w:pPr>
        <w:pStyle w:val="Heading2"/>
      </w:pPr>
      <w:r>
        <w:t>Section F — Closing (about 5 minutes)</w:t>
      </w:r>
    </w:p>
    <w:p>
      <w:pPr>
        <w:pStyle w:val="Heading3"/>
      </w:pPr>
      <w:r>
        <w:t>F1  (Objectives 1–4)</w:t>
      </w:r>
    </w:p>
    <w:p>
      <w:r>
        <w:t>If you were advising a new nurse manager on handling concerns when the dashboard looks good, what would you tell them?</w:t>
      </w:r>
    </w:p>
    <w:p>
      <w:pPr>
        <w:pStyle w:val="Heading3"/>
      </w:pPr>
      <w:r>
        <w:t>F2</w:t>
      </w:r>
    </w:p>
    <w:p>
      <w:r>
        <w:t>Is there anything we have not covered that you think is important?</w:t>
      </w:r>
    </w:p>
    <w:p>
      <w:pPr/>
      <w:r>
        <w:t xml:space="preserve">v1.2 and v1.3 indicate probes added during data collection, within the scope of the approved guide (see S1.9). Question D2 is reproduced as administered. Its evidence-focused framing, which presupposes that a concern may need to be shown to be real, is acknowledged in Methods (Sections 2.5 and 2.7) and in the limitations (Section 4.5).</w:t>
      </w:r>
    </w:p>
    <w:p>
      <w:pPr>
        <w:pStyle w:val="Heading1"/>
      </w:pPr>
      <w:r>
        <w:t>S1.5 Closing script and debrief</w:t>
      </w:r>
    </w:p>
    <w:p>
      <w:pPr>
        <w:pStyle w:val="ListBullet"/>
      </w:pPr>
      <w:r>
        <w:t>Thank the participant and stop the recording.</w:t>
      </w:r>
    </w:p>
    <w:p>
      <w:pPr>
        <w:pStyle w:val="ListBullet"/>
      </w:pPr>
      <w:r>
        <w:t>Ask whether they wish to remove or clarify anything they said.</w:t>
      </w:r>
    </w:p>
    <w:p>
      <w:pPr>
        <w:pStyle w:val="ListBullet"/>
      </w:pPr>
      <w:r>
        <w:t>Remind them of the 14-day withdrawal period and how to contact the research team.</w:t>
      </w:r>
    </w:p>
    <w:p>
      <w:pPr>
        <w:pStyle w:val="ListBullet"/>
      </w:pPr>
      <w:r>
        <w:t>Explain the optional member reflection: a two-page summary of preliminary interpretations, in Arabic and English, will be sent later, with an invitation to comment by email or a brief call within three weeks.</w:t>
      </w:r>
    </w:p>
    <w:p>
      <w:pPr>
        <w:pStyle w:val="ListBullet"/>
      </w:pPr>
      <w:r>
        <w:t>If recalling an incident caused distress, offer information about the hospital employee-support service.</w:t>
      </w:r>
    </w:p>
    <w:p>
      <w:pPr>
        <w:pStyle w:val="ListBullet"/>
      </w:pPr>
      <w:r>
        <w:t>Write field notes immediately after the interview using the template in S1.8.</w:t>
      </w:r>
    </w:p>
    <w:p>
      <w:pPr>
        <w:pStyle w:val="Heading1"/>
      </w:pPr>
      <w:r>
        <w:t>S1.6 Arabic main questions and selected probes</w:t>
      </w:r>
    </w:p>
    <w:p>
      <w:pPr/>
      <w:r>
        <w:t xml:space="preserve">The guide was translated into Arabic by a bilingual nurse researcher and back-translated by a second bilingual nurse researcher. Discrepancies were resolved by discussion to preserve conceptual rather than literal equivalence (Squires, 2009). The main questions and selected probes are shown below. Probe wording was adapted naturally during interviews.</w:t>
      </w:r>
    </w:p>
    <w:p>
      <w:pPr>
        <w:pStyle w:val="Heading2"/>
      </w:pPr>
      <w:r>
        <w:t>Opening (summary of S1.3)</w:t>
      </w:r>
    </w:p>
    <w:p>
      <w:pPr>
        <w:spacing w:line="300" w:lineRule="auto" w:before="80" w:after="120"/>
        <w:jc w:val="start"/>
        <w:bidi w:val="1"/>
      </w:pPr>
      <w:r>
        <w:rPr>
          <w:rFonts w:ascii="Arial" w:hAnsi="Arial" w:cs="Arial"/>
          <w:sz w:val="22"/>
          <w:rtl w:val="1"/>
          <w:szCs w:val="22"/>
        </w:rPr>
        <w:t>شكرًا لموافقتك على المشاركة. تهدف هذه الدراسة إلى فهم كيف يفكّر مديرو وحدات التمريض في المخاوف التي يطرحها الممرضون والممرضات بشأن رعاية المرضى، وكيف يستجيبون لها، خاصةً عندما تبدو مؤشرات الجودة في الوحدة مُرضية.</w:t>
      </w:r>
    </w:p>
    <w:p>
      <w:pPr>
        <w:spacing w:line="300" w:lineRule="auto" w:before="80" w:after="120"/>
        <w:jc w:val="start"/>
        <w:bidi w:val="1"/>
      </w:pPr>
      <w:r>
        <w:rPr>
          <w:rFonts w:ascii="Arial" w:hAnsi="Arial" w:cs="Arial"/>
          <w:sz w:val="22"/>
          <w:rtl w:val="1"/>
          <w:szCs w:val="22"/>
        </w:rPr>
        <w:t>لا يهدف هذا اللقاء إلى تقييمك أو تقييم وحدتك أو مستشفاك، ولا توجد إجابات صحيحة أو خاطئة. أرجو عدم ذكر أسماء المرضى أو الزملاء. يمكنك التوقف في أي وقت، أو سحب بياناتك دون إبداء أسباب خلال ١٤ يومًا من تاريخ المقابلة.</w:t>
      </w:r>
    </w:p>
    <w:p>
      <w:pPr>
        <w:pStyle w:val="Heading2"/>
        <w:spacing w:line="300" w:lineRule="auto" w:before="80" w:after="120"/>
        <w:jc w:val="start"/>
        <w:bidi w:val="1"/>
      </w:pPr>
      <w:r>
        <w:rPr>
          <w:rFonts w:ascii="Arial" w:hAnsi="Arial" w:cs="Arial"/>
          <w:sz w:val="22"/>
          <w:rtl w:val="1"/>
          <w:szCs w:val="22"/>
        </w:rPr>
        <w:t>القسم (أ): الوحدة ومعلومات الجودة</w:t>
      </w:r>
    </w:p>
    <w:p>
      <w:pPr>
        <w:pStyle w:val="Heading3"/>
      </w:pPr>
      <w:r>
        <w:t>A1</w:t>
      </w:r>
    </w:p>
    <w:p>
      <w:pPr>
        <w:spacing w:line="300" w:lineRule="auto" w:before="80" w:after="120"/>
        <w:jc w:val="start"/>
        <w:bidi w:val="1"/>
      </w:pPr>
      <w:r>
        <w:rPr>
          <w:rFonts w:ascii="Arial" w:hAnsi="Arial" w:cs="Arial"/>
          <w:sz w:val="22"/>
          <w:rtl w:val="1"/>
          <w:szCs w:val="22"/>
        </w:rPr>
        <w:t>هل يمكنك أن تحدثني عن وحدتك ودورك بصفتك مديرًا/مديرة لها؟</w:t>
      </w:r>
    </w:p>
    <w:p>
      <w:pPr>
        <w:pStyle w:val="Heading3"/>
      </w:pPr>
      <w:r>
        <w:t>A2</w:t>
      </w:r>
    </w:p>
    <w:p>
      <w:pPr>
        <w:spacing w:line="300" w:lineRule="auto" w:before="80" w:after="120"/>
        <w:jc w:val="start"/>
        <w:bidi w:val="1"/>
      </w:pPr>
      <w:r>
        <w:rPr>
          <w:rFonts w:ascii="Arial" w:hAnsi="Arial" w:cs="Arial"/>
          <w:sz w:val="22"/>
          <w:rtl w:val="1"/>
          <w:szCs w:val="22"/>
        </w:rPr>
        <w:t>ما مؤشرات الجودة التي تُبلغ عنها وحدتك، وكيف تستخدمها في إدارتك اليومية؟</w:t>
      </w:r>
    </w:p>
    <w:p>
      <w:pPr>
        <w:spacing w:line="300" w:lineRule="auto" w:before="80" w:after="120"/>
        <w:jc w:val="start"/>
        <w:bidi w:val="1"/>
      </w:pPr>
      <w:r>
        <w:rPr>
          <w:rFonts w:ascii="Arial" w:hAnsi="Arial" w:cs="Arial"/>
          <w:sz w:val="22"/>
          <w:rtl w:val="1"/>
          <w:szCs w:val="22"/>
        </w:rPr>
        <w:t>• متى تعدّ الشهر «جيدًا»؟ وإلى أي مدى تثق في هذه البيانات؟</w:t>
      </w:r>
    </w:p>
    <w:p>
      <w:pPr>
        <w:pStyle w:val="Heading3"/>
      </w:pPr>
      <w:r>
        <w:t>A3</w:t>
      </w:r>
    </w:p>
    <w:p>
      <w:pPr>
        <w:spacing w:line="300" w:lineRule="auto" w:before="80" w:after="120"/>
        <w:jc w:val="start"/>
        <w:bidi w:val="1"/>
      </w:pPr>
      <w:r>
        <w:rPr>
          <w:rFonts w:ascii="Arial" w:hAnsi="Arial" w:cs="Arial"/>
          <w:sz w:val="22"/>
          <w:rtl w:val="1"/>
          <w:szCs w:val="22"/>
        </w:rPr>
        <w:t>بعيدًا عن المؤشرات، كيف تعرف عادةً مستوى الرعاية المقدمة في وحدتك؟</w:t>
      </w:r>
    </w:p>
    <w:p>
      <w:pPr>
        <w:pStyle w:val="Heading2"/>
        <w:spacing w:line="300" w:lineRule="auto" w:before="80" w:after="120"/>
        <w:jc w:val="start"/>
        <w:bidi w:val="1"/>
      </w:pPr>
      <w:r>
        <w:rPr>
          <w:rFonts w:ascii="Arial" w:hAnsi="Arial" w:cs="Arial"/>
          <w:sz w:val="22"/>
          <w:rtl w:val="1"/>
          <w:szCs w:val="22"/>
        </w:rPr>
        <w:t>القسم (ب): قلق طُرح بينما كانت المؤشرات مطمئنة</w:t>
      </w:r>
    </w:p>
    <w:p>
      <w:pPr>
        <w:pStyle w:val="Heading3"/>
      </w:pPr>
      <w:r>
        <w:t>B1</w:t>
      </w:r>
    </w:p>
    <w:p>
      <w:pPr>
        <w:spacing w:line="300" w:lineRule="auto" w:before="80" w:after="120"/>
        <w:jc w:val="start"/>
        <w:bidi w:val="1"/>
      </w:pPr>
      <w:r>
        <w:rPr>
          <w:rFonts w:ascii="Arial" w:hAnsi="Arial" w:cs="Arial"/>
          <w:sz w:val="22"/>
          <w:rtl w:val="1"/>
          <w:szCs w:val="22"/>
        </w:rPr>
        <w:t>أرجو أن تتذكر موقفًا حديثًا خلال الاثني عشر شهرًا الماضية، طرح فيه أحد الممرضين أو إحدى الممرضات قلقًا بشأن رعاية المرضى في وقت كانت فيه مؤشرات الجودة في وحدتك تبدو مُرضية. هل يمكنك أن تصف لي ما حدث خطوة بخطوة، دون ذكر أي أسماء؟</w:t>
      </w:r>
    </w:p>
    <w:p>
      <w:pPr>
        <w:spacing w:line="300" w:lineRule="auto" w:before="80" w:after="120"/>
        <w:jc w:val="start"/>
        <w:bidi w:val="1"/>
      </w:pPr>
      <w:r>
        <w:rPr>
          <w:rFonts w:ascii="Arial" w:hAnsi="Arial" w:cs="Arial"/>
          <w:sz w:val="22"/>
          <w:rtl w:val="1"/>
          <w:szCs w:val="22"/>
        </w:rPr>
        <w:t>• كيف ومتى طُرح هذا القلق؟ وماذا قيل بالتحديد؟</w:t>
      </w:r>
    </w:p>
    <w:p>
      <w:pPr>
        <w:spacing w:line="300" w:lineRule="auto" w:before="80" w:after="120"/>
        <w:jc w:val="start"/>
        <w:bidi w:val="1"/>
      </w:pPr>
      <w:r>
        <w:rPr>
          <w:rFonts w:ascii="Arial" w:hAnsi="Arial" w:cs="Arial"/>
          <w:sz w:val="22"/>
          <w:rtl w:val="1"/>
          <w:szCs w:val="22"/>
        </w:rPr>
        <w:t>• كيف وازنت بين هذا القلق وما تُظهره المؤشرات؟ وما الذي جعله يبدو موثوقًا أو أقل موثوقية؟</w:t>
      </w:r>
    </w:p>
    <w:p>
      <w:pPr>
        <w:spacing w:line="300" w:lineRule="auto" w:before="80" w:after="120"/>
        <w:jc w:val="start"/>
        <w:bidi w:val="1"/>
      </w:pPr>
      <w:r>
        <w:rPr>
          <w:rFonts w:ascii="Arial" w:hAnsi="Arial" w:cs="Arial"/>
          <w:sz w:val="22"/>
          <w:rtl w:val="1"/>
          <w:szCs w:val="22"/>
        </w:rPr>
        <w:t>• هل احتجت إلى معلومات إضافية قبل اتخاذ أي إجراء؟ ما هي؟ ومن كان يُتوقع أن يجمعها؟ وما الذي كان سيُعدّ «كافيًا»؟</w:t>
      </w:r>
    </w:p>
    <w:p>
      <w:pPr>
        <w:spacing w:line="300" w:lineRule="auto" w:before="80" w:after="120"/>
        <w:jc w:val="start"/>
        <w:bidi w:val="1"/>
      </w:pPr>
      <w:r>
        <w:rPr>
          <w:rFonts w:ascii="Arial" w:hAnsi="Arial" w:cs="Arial"/>
          <w:sz w:val="22"/>
          <w:rtl w:val="1"/>
          <w:szCs w:val="22"/>
        </w:rPr>
        <w:t>• هل طلبت من الممرض/الممرضة كتابة القلق أو تقديم بلاغ عن حادثة؟ ولماذا؟</w:t>
      </w:r>
    </w:p>
    <w:p>
      <w:pPr>
        <w:spacing w:line="300" w:lineRule="auto" w:before="80" w:after="120"/>
        <w:jc w:val="start"/>
        <w:bidi w:val="1"/>
      </w:pPr>
      <w:r>
        <w:rPr>
          <w:rFonts w:ascii="Arial" w:hAnsi="Arial" w:cs="Arial"/>
          <w:sz w:val="22"/>
          <w:rtl w:val="1"/>
          <w:szCs w:val="22"/>
        </w:rPr>
        <w:t>• ما الإجراء الذي اتخذته: التحقق، أو التدخل، أو التصعيد، أو الانتظار؟</w:t>
      </w:r>
    </w:p>
    <w:p>
      <w:pPr>
        <w:spacing w:line="300" w:lineRule="auto" w:before="80" w:after="120"/>
        <w:jc w:val="start"/>
        <w:bidi w:val="1"/>
      </w:pPr>
      <w:r>
        <w:rPr>
          <w:rFonts w:ascii="Arial" w:hAnsi="Arial" w:cs="Arial"/>
          <w:sz w:val="22"/>
          <w:rtl w:val="1"/>
          <w:szCs w:val="22"/>
        </w:rPr>
        <w:t>• ماذا حدث بعد ذلك؟ وهل عدت إلى الممرض/الممرضة لإبلاغه بما تم؟ متى وكيف؟</w:t>
      </w:r>
    </w:p>
    <w:p>
      <w:pPr>
        <w:pStyle w:val="Heading2"/>
        <w:spacing w:line="300" w:lineRule="auto" w:before="80" w:after="120"/>
        <w:jc w:val="start"/>
        <w:bidi w:val="1"/>
      </w:pPr>
      <w:r>
        <w:rPr>
          <w:rFonts w:ascii="Arial" w:hAnsi="Arial" w:cs="Arial"/>
          <w:sz w:val="22"/>
          <w:rtl w:val="1"/>
          <w:szCs w:val="22"/>
        </w:rPr>
        <w:t>القسم (ج): موقف مختلف</w:t>
      </w:r>
    </w:p>
    <w:p>
      <w:pPr>
        <w:pStyle w:val="Heading3"/>
      </w:pPr>
      <w:r>
        <w:t>C1</w:t>
      </w:r>
    </w:p>
    <w:p>
      <w:pPr>
        <w:spacing w:line="300" w:lineRule="auto" w:before="80" w:after="120"/>
        <w:jc w:val="start"/>
        <w:bidi w:val="1"/>
      </w:pPr>
      <w:r>
        <w:rPr>
          <w:rFonts w:ascii="Arial" w:hAnsi="Arial" w:cs="Arial"/>
          <w:sz w:val="22"/>
          <w:rtl w:val="1"/>
          <w:szCs w:val="22"/>
        </w:rPr>
        <w:t>هل تتذكر موقفًا آخر جرى فيه التعامل مع القلق بطريقة مختلفة، كأن تتخذ إجراءً فوريًا دون تحقق إضافي، أو ألّا يُتابَع القلق؟ ما الذي جعل هذا الموقف مختلفًا؟</w:t>
      </w:r>
    </w:p>
    <w:p>
      <w:pPr>
        <w:pStyle w:val="Heading2"/>
        <w:spacing w:line="300" w:lineRule="auto" w:before="80" w:after="120"/>
        <w:jc w:val="start"/>
        <w:bidi w:val="1"/>
      </w:pPr>
      <w:r>
        <w:rPr>
          <w:rFonts w:ascii="Arial" w:hAnsi="Arial" w:cs="Arial"/>
          <w:sz w:val="22"/>
          <w:rtl w:val="1"/>
          <w:szCs w:val="22"/>
        </w:rPr>
        <w:t>القسم (د): التوقعات بشأن الدليل والمسؤولية</w:t>
      </w:r>
    </w:p>
    <w:p>
      <w:pPr>
        <w:pStyle w:val="Heading3"/>
      </w:pPr>
      <w:r>
        <w:t>D1</w:t>
      </w:r>
    </w:p>
    <w:p>
      <w:pPr>
        <w:spacing w:line="300" w:lineRule="auto" w:before="80" w:after="120"/>
        <w:jc w:val="start"/>
        <w:bidi w:val="1"/>
      </w:pPr>
      <w:r>
        <w:rPr>
          <w:rFonts w:ascii="Arial" w:hAnsi="Arial" w:cs="Arial"/>
          <w:sz w:val="22"/>
          <w:rtl w:val="1"/>
          <w:szCs w:val="22"/>
        </w:rPr>
        <w:t>عندما يطرح عليك ممرض أو ممرضة قلقًا لا تُظهره المؤشرات، ما الذي يلزم عادةً لكي تتصرف بناءً عليه؟</w:t>
      </w:r>
    </w:p>
    <w:p>
      <w:pPr>
        <w:pStyle w:val="Heading3"/>
      </w:pPr>
      <w:r>
        <w:t>D2</w:t>
      </w:r>
    </w:p>
    <w:p>
      <w:pPr>
        <w:spacing w:line="300" w:lineRule="auto" w:before="80" w:after="120"/>
        <w:jc w:val="start"/>
        <w:bidi w:val="1"/>
      </w:pPr>
      <w:r>
        <w:rPr>
          <w:rFonts w:ascii="Arial" w:hAnsi="Arial" w:cs="Arial"/>
          <w:sz w:val="22"/>
          <w:rtl w:val="1"/>
          <w:szCs w:val="22"/>
        </w:rPr>
        <w:t>في رأيك، على من تقع مسؤولية إثبات أن القلق حقيقي؟ وكيف تُنقل هذه التوقعات إلى الممرضين؟</w:t>
      </w:r>
    </w:p>
    <w:p>
      <w:pPr>
        <w:pStyle w:val="Heading3"/>
      </w:pPr>
      <w:r>
        <w:t>D3</w:t>
      </w:r>
    </w:p>
    <w:p>
      <w:pPr>
        <w:spacing w:line="300" w:lineRule="auto" w:before="80" w:after="120"/>
        <w:jc w:val="start"/>
        <w:bidi w:val="1"/>
      </w:pPr>
      <w:r>
        <w:rPr>
          <w:rFonts w:ascii="Arial" w:hAnsi="Arial" w:cs="Arial"/>
          <w:sz w:val="22"/>
          <w:rtl w:val="1"/>
          <w:szCs w:val="22"/>
        </w:rPr>
        <w:t>هل سبق أن رفعت إلى الإدارة العليا أو إلى اجتماع الجودة قلقًا لا تدعمه مؤشرات وحدتك؟ ماذا حدث؟</w:t>
      </w:r>
    </w:p>
    <w:p>
      <w:pPr>
        <w:pStyle w:val="Heading2"/>
        <w:spacing w:line="300" w:lineRule="auto" w:before="80" w:after="120"/>
        <w:jc w:val="start"/>
        <w:bidi w:val="1"/>
      </w:pPr>
      <w:r>
        <w:rPr>
          <w:rFonts w:ascii="Arial" w:hAnsi="Arial" w:cs="Arial"/>
          <w:sz w:val="22"/>
          <w:rtl w:val="1"/>
          <w:szCs w:val="22"/>
        </w:rPr>
        <w:t>القسم (هـ): الظروف التنظيمية</w:t>
      </w:r>
    </w:p>
    <w:p>
      <w:pPr>
        <w:pStyle w:val="Heading3"/>
      </w:pPr>
      <w:r>
        <w:t>E1</w:t>
      </w:r>
    </w:p>
    <w:p>
      <w:pPr>
        <w:spacing w:line="300" w:lineRule="auto" w:before="80" w:after="120"/>
        <w:jc w:val="start"/>
        <w:bidi w:val="1"/>
      </w:pPr>
      <w:r>
        <w:rPr>
          <w:rFonts w:ascii="Arial" w:hAnsi="Arial" w:cs="Arial"/>
          <w:sz w:val="22"/>
          <w:rtl w:val="1"/>
          <w:szCs w:val="22"/>
        </w:rPr>
        <w:t>ما الذي يسهّل أو يصعّب في مستشفاك الاستجابة لمثل هذه المخاوف؟</w:t>
      </w:r>
    </w:p>
    <w:p>
      <w:pPr>
        <w:pStyle w:val="Heading3"/>
      </w:pPr>
      <w:r>
        <w:t>E2</w:t>
      </w:r>
    </w:p>
    <w:p>
      <w:pPr>
        <w:spacing w:line="300" w:lineRule="auto" w:before="80" w:after="120"/>
        <w:jc w:val="start"/>
        <w:bidi w:val="1"/>
      </w:pPr>
      <w:r>
        <w:rPr>
          <w:rFonts w:ascii="Arial" w:hAnsi="Arial" w:cs="Arial"/>
          <w:sz w:val="22"/>
          <w:rtl w:val="1"/>
          <w:szCs w:val="22"/>
        </w:rPr>
        <w:t>كيف تُناقَش المخاوف التي لا تنعكس في المؤشرات خلال اجتماعات الجودة، إن نوقشت أصلًا؟</w:t>
      </w:r>
    </w:p>
    <w:p>
      <w:pPr>
        <w:pStyle w:val="Heading3"/>
      </w:pPr>
      <w:r>
        <w:t>E3</w:t>
      </w:r>
    </w:p>
    <w:p>
      <w:pPr>
        <w:spacing w:line="300" w:lineRule="auto" w:before="80" w:after="120"/>
        <w:jc w:val="start"/>
        <w:bidi w:val="1"/>
      </w:pPr>
      <w:r>
        <w:rPr>
          <w:rFonts w:ascii="Arial" w:hAnsi="Arial" w:cs="Arial"/>
          <w:sz w:val="22"/>
          <w:rtl w:val="1"/>
          <w:szCs w:val="22"/>
        </w:rPr>
        <w:t>هل يطرح الممرضون أحيانًا مخاوفهم عبر قنوات غير رسمية مثل تطبيقات المراسلة أو الأحاديث الجانبية؟ وكيف تتعامل معها مقارنةً بالبلاغات الرسمية؟</w:t>
      </w:r>
    </w:p>
    <w:p>
      <w:pPr>
        <w:pStyle w:val="Heading2"/>
        <w:spacing w:line="300" w:lineRule="auto" w:before="80" w:after="120"/>
        <w:jc w:val="start"/>
        <w:bidi w:val="1"/>
      </w:pPr>
      <w:r>
        <w:rPr>
          <w:rFonts w:ascii="Arial" w:hAnsi="Arial" w:cs="Arial"/>
          <w:sz w:val="22"/>
          <w:rtl w:val="1"/>
          <w:szCs w:val="22"/>
        </w:rPr>
        <w:t>القسم (و): الختام</w:t>
      </w:r>
    </w:p>
    <w:p>
      <w:pPr>
        <w:pStyle w:val="Heading3"/>
      </w:pPr>
      <w:r>
        <w:t>F1</w:t>
      </w:r>
    </w:p>
    <w:p>
      <w:pPr>
        <w:spacing w:line="300" w:lineRule="auto" w:before="80" w:after="120"/>
        <w:jc w:val="start"/>
        <w:bidi w:val="1"/>
      </w:pPr>
      <w:r>
        <w:rPr>
          <w:rFonts w:ascii="Arial" w:hAnsi="Arial" w:cs="Arial"/>
          <w:sz w:val="22"/>
          <w:rtl w:val="1"/>
          <w:szCs w:val="22"/>
        </w:rPr>
        <w:t>لو كنت تنصح مديرًا جديدًا أو مديرة جديدة للتمريض بكيفية التعامل مع المخاوف عندما تبدو لوحة المؤشرات جيدة، فبماذا تنصح؟</w:t>
      </w:r>
    </w:p>
    <w:p>
      <w:pPr>
        <w:pStyle w:val="Heading3"/>
      </w:pPr>
      <w:r>
        <w:t>F2</w:t>
      </w:r>
    </w:p>
    <w:p>
      <w:pPr>
        <w:spacing w:line="300" w:lineRule="auto" w:before="80" w:after="120"/>
        <w:jc w:val="start"/>
        <w:bidi w:val="1"/>
      </w:pPr>
      <w:r>
        <w:rPr>
          <w:rFonts w:ascii="Arial" w:hAnsi="Arial" w:cs="Arial"/>
          <w:sz w:val="22"/>
          <w:rtl w:val="1"/>
          <w:szCs w:val="22"/>
        </w:rPr>
        <w:t>هل هناك أمر لم نتطرق إليه وتراه مهمًا؟</w:t>
      </w:r>
    </w:p>
    <w:p>
      <w:pPr>
        <w:pStyle w:val="Heading1"/>
      </w:pPr>
      <w:r>
        <w:t>S1.7 Demographic and professional-profile questionnaire</w:t>
      </w:r>
    </w:p>
    <w:p>
      <w:pPr/>
      <w:r>
        <w:t>Each participant completed this questionnaire on paper, in Arabic or English, before the interview. Questionnaires were labelled with study codes only and stored separately from consent forms.</w:t>
      </w:r>
    </w:p>
    <w:tbl>
      <w:tblPr>
        <w:tblW w:type="dxa" w:w="9026"/>
        <w:jc w:val="center"/>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4680"/>
        <w:gridCol w:w="4680"/>
      </w:tblGrid>
      <w:tr>
        <w:trPr>
          <w:cantSplit/>
          <w:tblHeader/>
        </w:trPr>
        <w:tc>
          <w:tcPr>
            <w:tcW w:type="dxa" w:w="4680"/>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E7E6E6"/>
          </w:tcPr>
          <w:p>
            <w:pPr>
              <w:keepNext w:val="0"/>
              <w:spacing w:after="60" w:before="40" w:line="252" w:lineRule="auto"/>
            </w:pPr>
            <w:r>
              <w:rPr>
                <w:rFonts w:ascii="Times New Roman" w:cs="Calibri" w:eastAsia="Calibri" w:hAnsi="Times New Roman"/>
                <w:b/>
                <w:bCs/>
                <w:color w:val="000000"/>
                <w:sz w:val="21"/>
                <w:szCs w:val="19"/>
              </w:rPr>
              <w:t xml:space="preserve">Participant code (researcher use): </w:t>
            </w:r>
            <w:r>
              <w:rPr>
                <w:rFonts w:ascii="Times New Roman" w:cs="Calibri" w:eastAsia="Calibri" w:hAnsi="Times New Roman"/>
                <w:b/>
                <w:color w:val="000000"/>
                <w:sz w:val="21"/>
                <w:szCs w:val="19"/>
              </w:rPr>
              <w:t>P__ __</w:t>
            </w:r>
          </w:p>
        </w:tc>
        <w:tc>
          <w:tcPr>
            <w:tcW w:type="dxa" w:w="4680"/>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E7E6E6"/>
          </w:tcPr>
          <w:p>
            <w:pPr>
              <w:keepNext w:val="0"/>
              <w:spacing w:after="60" w:before="40" w:line="252" w:lineRule="auto"/>
            </w:pPr>
            <w:r>
              <w:rPr>
                <w:rFonts w:ascii="Times New Roman" w:cs="Calibri" w:eastAsia="Calibri" w:hAnsi="Times New Roman"/>
                <w:b/>
                <w:bCs/>
                <w:color w:val="000000"/>
                <w:sz w:val="21"/>
                <w:szCs w:val="19"/>
              </w:rPr>
              <w:t xml:space="preserve">Hospital code (researcher use): </w:t>
            </w:r>
            <w:r>
              <w:rPr>
                <w:rFonts w:ascii="Times New Roman" w:cs="Calibri" w:eastAsia="Calibri" w:hAnsi="Times New Roman"/>
                <w:b/>
                <w:color w:val="000000"/>
                <w:sz w:val="21"/>
                <w:szCs w:val="19"/>
              </w:rPr>
              <w:t>H__</w:t>
            </w:r>
          </w:p>
        </w:tc>
      </w:tr>
    </w:tbl>
    <w:p>
      <w:pPr>
        <w:keepNext/>
      </w:pPr>
      <w:r>
        <w:t>Table S1.1. Questionnaire items and response options</w:t>
      </w:r>
    </w:p>
    <w:tbl>
      <w:tblPr>
        <w:tblW w:type="dxa" w:w="9026"/>
        <w:jc w:val="center"/>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648"/>
        <w:gridCol w:w="3024"/>
        <w:gridCol w:w="5688"/>
      </w:tblGrid>
      <w:tr>
        <w:trPr>
          <w:tblHeader/>
          <w:cantSplit/>
          <w:tblHeader/>
        </w:trPr>
        <w:tc>
          <w:tcPr>
            <w:tcW w:type="dxa" w:w="64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E7E6E6"/>
          </w:tcPr>
          <w:p>
            <w:pPr>
              <w:keepNext w:val="0"/>
              <w:spacing w:after="60" w:before="40" w:line="252" w:lineRule="auto"/>
            </w:pPr>
            <w:r>
              <w:rPr>
                <w:rFonts w:ascii="Times New Roman" w:cs="Calibri" w:eastAsia="Calibri" w:hAnsi="Times New Roman"/>
                <w:b/>
                <w:bCs/>
                <w:color w:val="000000"/>
                <w:sz w:val="21"/>
                <w:szCs w:val="19"/>
              </w:rPr>
              <w:t>No.</w:t>
            </w:r>
          </w:p>
        </w:tc>
        <w:tc>
          <w:tcPr>
            <w:tcW w:type="dxa" w:w="302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E7E6E6"/>
          </w:tcPr>
          <w:p>
            <w:pPr>
              <w:keepNext w:val="0"/>
              <w:spacing w:after="60" w:before="40" w:line="252" w:lineRule="auto"/>
            </w:pPr>
            <w:r>
              <w:rPr>
                <w:rFonts w:ascii="Times New Roman" w:cs="Calibri" w:eastAsia="Calibri" w:hAnsi="Times New Roman"/>
                <w:b/>
                <w:bCs/>
                <w:color w:val="000000"/>
                <w:sz w:val="21"/>
                <w:szCs w:val="19"/>
              </w:rPr>
              <w:t>Item</w:t>
            </w:r>
          </w:p>
        </w:tc>
        <w:tc>
          <w:tcPr>
            <w:tcW w:type="dxa" w:w="568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E7E6E6"/>
          </w:tcPr>
          <w:p>
            <w:pPr>
              <w:keepNext w:val="0"/>
              <w:spacing w:after="60" w:before="40" w:line="252" w:lineRule="auto"/>
            </w:pPr>
            <w:r>
              <w:rPr>
                <w:rFonts w:ascii="Times New Roman" w:cs="Calibri" w:eastAsia="Calibri" w:hAnsi="Times New Roman"/>
                <w:b/>
                <w:bCs/>
                <w:color w:val="000000"/>
                <w:sz w:val="21"/>
                <w:szCs w:val="19"/>
              </w:rPr>
              <w:t>Response options</w:t>
            </w:r>
          </w:p>
        </w:tc>
      </w:tr>
      <w:tr>
        <w:trPr>
          <w:cantSplit/>
        </w:trPr>
        <w:tc>
          <w:tcPr>
            <w:tcW w:type="dxa" w:w="64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1</w:t>
            </w:r>
          </w:p>
        </w:tc>
        <w:tc>
          <w:tcPr>
            <w:tcW w:type="dxa" w:w="302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Age group</w:t>
            </w:r>
          </w:p>
        </w:tc>
        <w:tc>
          <w:tcPr>
            <w:tcW w:type="dxa" w:w="568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 25–34   ☐ 35–44   ☐ 45–54   ☐ 55 or older</w:t>
            </w:r>
          </w:p>
        </w:tc>
      </w:tr>
      <w:tr>
        <w:trPr>
          <w:cantSplit/>
        </w:trPr>
        <w:tc>
          <w:tcPr>
            <w:tcW w:type="dxa" w:w="64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2</w:t>
            </w:r>
          </w:p>
        </w:tc>
        <w:tc>
          <w:tcPr>
            <w:tcW w:type="dxa" w:w="302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Gender</w:t>
            </w:r>
          </w:p>
        </w:tc>
        <w:tc>
          <w:tcPr>
            <w:tcW w:type="dxa" w:w="568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 Female   ☐ Male</w:t>
            </w:r>
          </w:p>
        </w:tc>
      </w:tr>
      <w:tr>
        <w:trPr>
          <w:cantSplit/>
        </w:trPr>
        <w:tc>
          <w:tcPr>
            <w:tcW w:type="dxa" w:w="64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3</w:t>
            </w:r>
          </w:p>
        </w:tc>
        <w:tc>
          <w:tcPr>
            <w:tcW w:type="dxa" w:w="302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Nationality group</w:t>
            </w:r>
          </w:p>
        </w:tc>
        <w:tc>
          <w:tcPr>
            <w:tcW w:type="dxa" w:w="568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 Saudi   ☐ Non-Saudi</w:t>
            </w:r>
          </w:p>
        </w:tc>
      </w:tr>
      <w:tr>
        <w:trPr>
          <w:cantSplit/>
        </w:trPr>
        <w:tc>
          <w:tcPr>
            <w:tcW w:type="dxa" w:w="64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4</w:t>
            </w:r>
          </w:p>
        </w:tc>
        <w:tc>
          <w:tcPr>
            <w:tcW w:type="dxa" w:w="302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Country where your basic nursing education was completed</w:t>
            </w:r>
          </w:p>
        </w:tc>
        <w:tc>
          <w:tcPr>
            <w:tcW w:type="dxa" w:w="568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 Saudi Arabia   ☐ Other (please state): ________</w:t>
            </w:r>
          </w:p>
        </w:tc>
      </w:tr>
      <w:tr>
        <w:trPr>
          <w:cantSplit/>
        </w:trPr>
        <w:tc>
          <w:tcPr>
            <w:tcW w:type="dxa" w:w="64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5</w:t>
            </w:r>
          </w:p>
        </w:tc>
        <w:tc>
          <w:tcPr>
            <w:tcW w:type="dxa" w:w="302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Highest nursing qualification</w:t>
            </w:r>
          </w:p>
        </w:tc>
        <w:tc>
          <w:tcPr>
            <w:tcW w:type="dxa" w:w="568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 Diploma   ☐ Bachelor’s   ☐ Master’s   ☐ Doctorate</w:t>
            </w:r>
          </w:p>
        </w:tc>
      </w:tr>
      <w:tr>
        <w:trPr>
          <w:cantSplit/>
        </w:trPr>
        <w:tc>
          <w:tcPr>
            <w:tcW w:type="dxa" w:w="64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6</w:t>
            </w:r>
          </w:p>
        </w:tc>
        <w:tc>
          <w:tcPr>
            <w:tcW w:type="dxa" w:w="302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Total years of experience as a registered nurse</w:t>
            </w:r>
          </w:p>
        </w:tc>
        <w:tc>
          <w:tcPr>
            <w:tcW w:type="dxa" w:w="568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______ years</w:t>
            </w:r>
          </w:p>
        </w:tc>
      </w:tr>
      <w:tr>
        <w:trPr>
          <w:cantSplit/>
        </w:trPr>
        <w:tc>
          <w:tcPr>
            <w:tcW w:type="dxa" w:w="64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7</w:t>
            </w:r>
          </w:p>
        </w:tc>
        <w:tc>
          <w:tcPr>
            <w:tcW w:type="dxa" w:w="302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Total years of experience in a nurse manager or head nurse role</w:t>
            </w:r>
          </w:p>
        </w:tc>
        <w:tc>
          <w:tcPr>
            <w:tcW w:type="dxa" w:w="568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______ years  (for sampling: ☐ &lt;5  ☐ 5–10  ☐ &gt;10)</w:t>
            </w:r>
          </w:p>
        </w:tc>
      </w:tr>
      <w:tr>
        <w:trPr>
          <w:cantSplit/>
        </w:trPr>
        <w:tc>
          <w:tcPr>
            <w:tcW w:type="dxa" w:w="64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8</w:t>
            </w:r>
          </w:p>
        </w:tc>
        <w:tc>
          <w:tcPr>
            <w:tcW w:type="dxa" w:w="302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Time in your current managerial post</w:t>
            </w:r>
          </w:p>
        </w:tc>
        <w:tc>
          <w:tcPr>
            <w:tcW w:type="dxa" w:w="568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______ years ______ months</w:t>
            </w:r>
          </w:p>
        </w:tc>
      </w:tr>
      <w:tr>
        <w:trPr>
          <w:cantSplit/>
        </w:trPr>
        <w:tc>
          <w:tcPr>
            <w:tcW w:type="dxa" w:w="64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9</w:t>
            </w:r>
          </w:p>
        </w:tc>
        <w:tc>
          <w:tcPr>
            <w:tcW w:type="dxa" w:w="302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Type of unit you currently manage</w:t>
            </w:r>
          </w:p>
        </w:tc>
        <w:tc>
          <w:tcPr>
            <w:tcW w:type="dxa" w:w="568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 Medical   ☐ Surgical   ☐ Critical care   ☐ Emergency   ☐ Paediatric   ☐ Maternity</w:t>
            </w:r>
          </w:p>
        </w:tc>
      </w:tr>
      <w:tr>
        <w:trPr>
          <w:cantSplit/>
        </w:trPr>
        <w:tc>
          <w:tcPr>
            <w:tcW w:type="dxa" w:w="64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10</w:t>
            </w:r>
          </w:p>
        </w:tc>
        <w:tc>
          <w:tcPr>
            <w:tcW w:type="dxa" w:w="302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Number of beds or treatment spaces on your unit</w:t>
            </w:r>
          </w:p>
        </w:tc>
        <w:tc>
          <w:tcPr>
            <w:tcW w:type="dxa" w:w="568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______</w:t>
            </w:r>
          </w:p>
        </w:tc>
      </w:tr>
      <w:tr>
        <w:trPr>
          <w:cantSplit/>
        </w:trPr>
        <w:tc>
          <w:tcPr>
            <w:tcW w:type="dxa" w:w="64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11</w:t>
            </w:r>
          </w:p>
        </w:tc>
        <w:tc>
          <w:tcPr>
            <w:tcW w:type="dxa" w:w="302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Level of care provided by your hospital</w:t>
            </w:r>
          </w:p>
        </w:tc>
        <w:tc>
          <w:tcPr>
            <w:tcW w:type="dxa" w:w="568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 Secondary   ☐ Tertiary</w:t>
            </w:r>
          </w:p>
        </w:tc>
      </w:tr>
      <w:tr>
        <w:trPr>
          <w:cantSplit/>
        </w:trPr>
        <w:tc>
          <w:tcPr>
            <w:tcW w:type="dxa" w:w="64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12</w:t>
            </w:r>
          </w:p>
        </w:tc>
        <w:tc>
          <w:tcPr>
            <w:tcW w:type="dxa" w:w="302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Preferred interview language</w:t>
            </w:r>
          </w:p>
        </w:tc>
        <w:tc>
          <w:tcPr>
            <w:tcW w:type="dxa" w:w="568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 Arabic   ☐ English</w:t>
            </w:r>
          </w:p>
        </w:tc>
      </w:tr>
    </w:tbl>
    <w:p>
      <w:pPr>
        <w:pStyle w:val="Heading1"/>
      </w:pPr>
      <w:r>
        <w:t>S1.8 Post-interview field-note template</w:t>
      </w:r>
    </w:p>
    <w:p>
      <w:pPr/>
      <w:r>
        <w:t>R1 completed this template as soon as possible after each interview, and on the same day. Field notes were stored with the de-identified transcript and informed later interviews and analysis.</w:t>
      </w:r>
    </w:p>
    <w:tbl>
      <w:tblPr>
        <w:tblW w:type="dxa" w:w="9026"/>
        <w:jc w:val="center"/>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1944"/>
        <w:gridCol w:w="7416"/>
      </w:tblGrid>
      <w:tr>
        <w:trPr>
          <w:tblHeader/>
          <w:cantSplit/>
          <w:tblHeader/>
        </w:trPr>
        <w:tc>
          <w:tcPr>
            <w:tcW w:type="dxa" w:w="194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E7E6E6"/>
          </w:tcPr>
          <w:p>
            <w:pPr>
              <w:keepNext w:val="0"/>
              <w:spacing w:after="60" w:before="40" w:line="252" w:lineRule="auto"/>
            </w:pPr>
            <w:r>
              <w:rPr>
                <w:rFonts w:ascii="Times New Roman" w:cs="Calibri" w:eastAsia="Calibri" w:hAnsi="Times New Roman"/>
                <w:b/>
                <w:bCs/>
                <w:color w:val="000000"/>
                <w:sz w:val="21"/>
                <w:szCs w:val="19"/>
              </w:rPr>
              <w:t>Field</w:t>
            </w:r>
          </w:p>
        </w:tc>
        <w:tc>
          <w:tcPr>
            <w:tcW w:type="dxa" w:w="741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E7E6E6"/>
          </w:tcPr>
          <w:p>
            <w:pPr>
              <w:keepNext w:val="0"/>
              <w:spacing w:after="60" w:before="40" w:line="252" w:lineRule="auto"/>
            </w:pPr>
            <w:r>
              <w:rPr>
                <w:rFonts w:ascii="Times New Roman" w:cs="Calibri" w:eastAsia="Calibri" w:hAnsi="Times New Roman"/>
                <w:b/>
                <w:bCs/>
                <w:color w:val="000000"/>
                <w:sz w:val="21"/>
                <w:szCs w:val="19"/>
              </w:rPr>
              <w:t>Notes</w:t>
            </w:r>
          </w:p>
        </w:tc>
      </w:tr>
      <w:tr>
        <w:trPr>
          <w:cantSplit/>
        </w:trPr>
        <w:tc>
          <w:tcPr>
            <w:tcW w:type="dxa" w:w="194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bCs/>
                <w:color w:val="000000"/>
                <w:sz w:val="21"/>
                <w:szCs w:val="19"/>
              </w:rPr>
              <w:t>Participant and hospital code; date; language; format (in person or video); duration</w:t>
            </w:r>
          </w:p>
        </w:tc>
        <w:tc>
          <w:tcPr>
            <w:tcW w:type="dxa" w:w="741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r>
          </w:p>
        </w:tc>
      </w:tr>
      <w:tr>
        <w:trPr>
          <w:cantSplit/>
        </w:trPr>
        <w:tc>
          <w:tcPr>
            <w:tcW w:type="dxa" w:w="194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bCs/>
                <w:color w:val="000000"/>
                <w:sz w:val="21"/>
                <w:szCs w:val="19"/>
              </w:rPr>
              <w:t>Setting and any interruptions</w:t>
            </w:r>
          </w:p>
        </w:tc>
        <w:tc>
          <w:tcPr>
            <w:tcW w:type="dxa" w:w="741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r>
          </w:p>
        </w:tc>
      </w:tr>
      <w:tr>
        <w:trPr>
          <w:cantSplit/>
        </w:trPr>
        <w:tc>
          <w:tcPr>
            <w:tcW w:type="dxa" w:w="194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bCs/>
                <w:color w:val="000000"/>
                <w:sz w:val="21"/>
                <w:szCs w:val="19"/>
              </w:rPr>
              <w:t>Rapport, non-verbal cues and moments of hesitation or contradiction</w:t>
            </w:r>
          </w:p>
        </w:tc>
        <w:tc>
          <w:tcPr>
            <w:tcW w:type="dxa" w:w="741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r>
          </w:p>
        </w:tc>
      </w:tr>
      <w:tr>
        <w:trPr>
          <w:cantSplit/>
        </w:trPr>
        <w:tc>
          <w:tcPr>
            <w:tcW w:type="dxa" w:w="194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bCs/>
                <w:color w:val="000000"/>
                <w:sz w:val="21"/>
                <w:szCs w:val="19"/>
              </w:rPr>
              <w:t>Incidents described (brief, de-identified summary)</w:t>
            </w:r>
          </w:p>
        </w:tc>
        <w:tc>
          <w:tcPr>
            <w:tcW w:type="dxa" w:w="741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r>
          </w:p>
        </w:tc>
      </w:tr>
      <w:tr>
        <w:trPr>
          <w:cantSplit/>
        </w:trPr>
        <w:tc>
          <w:tcPr>
            <w:tcW w:type="dxa" w:w="194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bCs/>
                <w:color w:val="000000"/>
                <w:sz w:val="21"/>
                <w:szCs w:val="19"/>
              </w:rPr>
              <w:t>Initial analytic ideas and links to earlier interviews</w:t>
            </w:r>
          </w:p>
        </w:tc>
        <w:tc>
          <w:tcPr>
            <w:tcW w:type="dxa" w:w="741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r>
          </w:p>
        </w:tc>
      </w:tr>
      <w:tr>
        <w:trPr>
          <w:cantSplit/>
        </w:trPr>
        <w:tc>
          <w:tcPr>
            <w:tcW w:type="dxa" w:w="194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bCs/>
                <w:color w:val="000000"/>
                <w:sz w:val="21"/>
                <w:szCs w:val="19"/>
              </w:rPr>
              <w:t>Points to explore in later interviews (for analytically informed sampling and probing)</w:t>
            </w:r>
          </w:p>
        </w:tc>
        <w:tc>
          <w:tcPr>
            <w:tcW w:type="dxa" w:w="741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r>
          </w:p>
        </w:tc>
      </w:tr>
      <w:tr>
        <w:trPr>
          <w:cantSplit/>
        </w:trPr>
        <w:tc>
          <w:tcPr>
            <w:tcW w:type="dxa" w:w="194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bCs/>
                <w:color w:val="000000"/>
                <w:sz w:val="21"/>
                <w:szCs w:val="19"/>
              </w:rPr>
              <w:t>Reflexive observations (own reactions, assumptions and insider–outsider tensions)</w:t>
            </w:r>
          </w:p>
        </w:tc>
        <w:tc>
          <w:tcPr>
            <w:tcW w:type="dxa" w:w="741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r>
          </w:p>
        </w:tc>
      </w:tr>
    </w:tbl>
    <w:p>
      <w:pPr>
        <w:pStyle w:val="Heading1"/>
      </w:pPr>
      <w:r>
        <w:t>S1.9 Development, piloting and refinement log</w:t>
      </w:r>
    </w:p>
    <w:p>
      <w:pPr/>
      <w:r>
        <w:t>This log forms part of the study audit trail. All refinements during data collection stayed within the scope of the approved guide.</w:t>
      </w:r>
    </w:p>
    <w:p>
      <w:pPr>
        <w:keepNext/>
      </w:pPr>
      <w:r>
        <w:t>Table S1.2. Interview guide version history</w:t>
      </w:r>
    </w:p>
    <w:tbl>
      <w:tblPr>
        <w:tblW w:type="dxa" w:w="9026"/>
        <w:jc w:val="center"/>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648"/>
        <w:gridCol w:w="1152"/>
        <w:gridCol w:w="3816"/>
        <w:gridCol w:w="3744"/>
      </w:tblGrid>
      <w:tr>
        <w:trPr>
          <w:tblHeader/>
          <w:cantSplit/>
          <w:tblHeader/>
        </w:trPr>
        <w:tc>
          <w:tcPr>
            <w:tcW w:type="dxa" w:w="64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E7E6E6"/>
          </w:tcPr>
          <w:p>
            <w:pPr>
              <w:keepNext w:val="0"/>
              <w:spacing w:after="60" w:before="40" w:line="252" w:lineRule="auto"/>
            </w:pPr>
            <w:r>
              <w:rPr>
                <w:rFonts w:ascii="Times New Roman" w:hAnsi="Times New Roman"/>
                <w:b/>
                <w:color w:val="000000"/>
                <w:sz w:val="21"/>
              </w:rPr>
              <w:t>Ver.</w:t>
            </w:r>
          </w:p>
        </w:tc>
        <w:tc>
          <w:tcPr>
            <w:tcW w:type="dxa" w:w="115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E7E6E6"/>
          </w:tcPr>
          <w:p>
            <w:pPr>
              <w:keepNext w:val="0"/>
              <w:spacing w:after="60" w:before="40" w:line="252" w:lineRule="auto"/>
            </w:pPr>
            <w:r>
              <w:rPr>
                <w:rFonts w:ascii="Times New Roman" w:cs="Calibri" w:eastAsia="Calibri" w:hAnsi="Times New Roman"/>
                <w:b/>
                <w:bCs/>
                <w:color w:val="000000"/>
                <w:sz w:val="21"/>
                <w:szCs w:val="19"/>
              </w:rPr>
              <w:t>Date</w:t>
            </w:r>
          </w:p>
        </w:tc>
        <w:tc>
          <w:tcPr>
            <w:tcW w:type="dxa" w:w="381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E7E6E6"/>
          </w:tcPr>
          <w:p>
            <w:pPr>
              <w:keepNext w:val="0"/>
              <w:spacing w:after="60" w:before="40" w:line="252" w:lineRule="auto"/>
            </w:pPr>
            <w:r>
              <w:rPr>
                <w:rFonts w:ascii="Times New Roman" w:cs="Calibri" w:eastAsia="Calibri" w:hAnsi="Times New Roman"/>
                <w:b/>
                <w:bCs/>
                <w:color w:val="000000"/>
                <w:sz w:val="21"/>
                <w:szCs w:val="19"/>
              </w:rPr>
              <w:t>Change</w:t>
            </w:r>
          </w:p>
        </w:tc>
        <w:tc>
          <w:tcPr>
            <w:tcW w:type="dxa" w:w="374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E7E6E6"/>
          </w:tcPr>
          <w:p>
            <w:pPr>
              <w:keepNext w:val="0"/>
              <w:spacing w:after="60" w:before="40" w:line="252" w:lineRule="auto"/>
            </w:pPr>
            <w:r>
              <w:rPr>
                <w:rFonts w:ascii="Times New Roman" w:cs="Calibri" w:eastAsia="Calibri" w:hAnsi="Times New Roman"/>
                <w:b/>
                <w:bCs/>
                <w:color w:val="000000"/>
                <w:sz w:val="21"/>
                <w:szCs w:val="19"/>
              </w:rPr>
              <w:t>Rationale</w:t>
            </w:r>
          </w:p>
        </w:tc>
      </w:tr>
      <w:tr>
        <w:trPr>
          <w:cantSplit/>
        </w:trPr>
        <w:tc>
          <w:tcPr>
            <w:tcW w:type="dxa" w:w="64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color w:val="000000"/>
                <w:sz w:val="21"/>
                <w:szCs w:val="19"/>
              </w:rPr>
              <w:t>v0.1</w:t>
            </w:r>
          </w:p>
        </w:tc>
        <w:tc>
          <w:tcPr>
            <w:tcW w:type="dxa" w:w="115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color w:val="000000"/>
                <w:sz w:val="21"/>
                <w:szCs w:val="19"/>
              </w:rPr>
              <w:t>November 2025</w:t>
            </w:r>
          </w:p>
        </w:tc>
        <w:tc>
          <w:tcPr>
            <w:tcW w:type="dxa" w:w="381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color w:val="000000"/>
                <w:sz w:val="21"/>
                <w:szCs w:val="19"/>
              </w:rPr>
              <w:t>Draft prepared from the study objectives, literature and sensitising concepts</w:t>
            </w:r>
          </w:p>
        </w:tc>
        <w:tc>
          <w:tcPr>
            <w:tcW w:type="dxa" w:w="374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color w:val="000000"/>
                <w:sz w:val="21"/>
                <w:szCs w:val="19"/>
              </w:rPr>
              <w:t>Initial development</w:t>
            </w:r>
          </w:p>
        </w:tc>
      </w:tr>
      <w:tr>
        <w:trPr>
          <w:cantSplit/>
        </w:trPr>
        <w:tc>
          <w:tcPr>
            <w:tcW w:type="dxa" w:w="64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color w:val="000000"/>
                <w:sz w:val="21"/>
                <w:szCs w:val="19"/>
              </w:rPr>
              <w:t>v0.2</w:t>
            </w:r>
          </w:p>
        </w:tc>
        <w:tc>
          <w:tcPr>
            <w:tcW w:type="dxa" w:w="115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color w:val="000000"/>
                <w:sz w:val="21"/>
                <w:szCs w:val="19"/>
              </w:rPr>
              <w:t>December 2025</w:t>
            </w:r>
          </w:p>
        </w:tc>
        <w:tc>
          <w:tcPr>
            <w:tcW w:type="dxa" w:w="381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color w:val="000000"/>
                <w:sz w:val="21"/>
                <w:szCs w:val="19"/>
              </w:rPr>
              <w:t>Expert review by two senior nurse leaders and one qualitative methodologist. Wording simplified, and the contrasting-incident question (C1) added.</w:t>
            </w:r>
          </w:p>
        </w:tc>
        <w:tc>
          <w:tcPr>
            <w:tcW w:type="dxa" w:w="374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color w:val="000000"/>
                <w:sz w:val="21"/>
                <w:szCs w:val="19"/>
              </w:rPr>
              <w:t>Relevance, clarity and cultural appropriateness; elicit variation in responses</w:t>
            </w:r>
          </w:p>
        </w:tc>
      </w:tr>
      <w:tr>
        <w:trPr>
          <w:cantSplit/>
        </w:trPr>
        <w:tc>
          <w:tcPr>
            <w:tcW w:type="dxa" w:w="64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color w:val="000000"/>
                <w:sz w:val="21"/>
                <w:szCs w:val="19"/>
              </w:rPr>
              <w:t>v1.0</w:t>
            </w:r>
          </w:p>
        </w:tc>
        <w:tc>
          <w:tcPr>
            <w:tcW w:type="dxa" w:w="115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color w:val="000000"/>
                <w:sz w:val="21"/>
                <w:szCs w:val="19"/>
              </w:rPr>
              <w:t>December 2025</w:t>
            </w:r>
          </w:p>
        </w:tc>
        <w:tc>
          <w:tcPr>
            <w:tcW w:type="dxa" w:w="381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color w:val="000000"/>
                <w:sz w:val="21"/>
                <w:szCs w:val="19"/>
              </w:rPr>
              <w:t>Arabic translation and back-translation completed. Guide submitted with the ethics application and approved on 26 December 2025.</w:t>
            </w:r>
          </w:p>
        </w:tc>
        <w:tc>
          <w:tcPr>
            <w:tcW w:type="dxa" w:w="374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color w:val="000000"/>
                <w:sz w:val="21"/>
                <w:szCs w:val="19"/>
              </w:rPr>
              <w:t>Conceptual equivalence across languages</w:t>
            </w:r>
          </w:p>
        </w:tc>
      </w:tr>
      <w:tr>
        <w:trPr>
          <w:cantSplit/>
        </w:trPr>
        <w:tc>
          <w:tcPr>
            <w:tcW w:type="dxa" w:w="64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color w:val="000000"/>
                <w:sz w:val="21"/>
                <w:szCs w:val="19"/>
              </w:rPr>
              <w:t>v1.1</w:t>
            </w:r>
          </w:p>
        </w:tc>
        <w:tc>
          <w:tcPr>
            <w:tcW w:type="dxa" w:w="115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color w:val="000000"/>
                <w:sz w:val="21"/>
                <w:szCs w:val="19"/>
              </w:rPr>
              <w:t>Early January 2026</w:t>
            </w:r>
          </w:p>
        </w:tc>
        <w:tc>
          <w:tcPr>
            <w:tcW w:type="dxa" w:w="381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color w:val="000000"/>
                <w:sz w:val="21"/>
                <w:szCs w:val="19"/>
              </w:rPr>
              <w:t>Pilot with two nurse managers from a Jouf hospital that was not a study site. Minor rewording of A2 and B1, and Section D moved after Section C.</w:t>
            </w:r>
          </w:p>
        </w:tc>
        <w:tc>
          <w:tcPr>
            <w:tcW w:type="dxa" w:w="374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color w:val="000000"/>
                <w:sz w:val="21"/>
                <w:szCs w:val="19"/>
              </w:rPr>
              <w:t>Smoother flow; incidents described before general expectations. Pilot data excluded from analysis.</w:t>
            </w:r>
          </w:p>
        </w:tc>
      </w:tr>
      <w:tr>
        <w:trPr>
          <w:cantSplit/>
        </w:trPr>
        <w:tc>
          <w:tcPr>
            <w:tcW w:type="dxa" w:w="64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color w:val="000000"/>
                <w:sz w:val="21"/>
                <w:szCs w:val="19"/>
              </w:rPr>
              <w:t>v1.2</w:t>
            </w:r>
          </w:p>
        </w:tc>
        <w:tc>
          <w:tcPr>
            <w:tcW w:type="dxa" w:w="115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color w:val="000000"/>
                <w:sz w:val="21"/>
                <w:szCs w:val="19"/>
              </w:rPr>
              <w:t>February 2026 (after interview 6)</w:t>
            </w:r>
          </w:p>
        </w:tc>
        <w:tc>
          <w:tcPr>
            <w:tcW w:type="dxa" w:w="381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color w:val="000000"/>
                <w:sz w:val="21"/>
                <w:szCs w:val="19"/>
              </w:rPr>
              <w:t>Probe E3 on informal channels, such as messaging applications, added</w:t>
            </w:r>
          </w:p>
        </w:tc>
        <w:tc>
          <w:tcPr>
            <w:tcW w:type="dxa" w:w="374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color w:val="000000"/>
                <w:sz w:val="21"/>
                <w:szCs w:val="19"/>
              </w:rPr>
              <w:t>Informal raising of concerns emerged in early interviews and analytic memos</w:t>
            </w:r>
          </w:p>
        </w:tc>
      </w:tr>
      <w:tr>
        <w:trPr>
          <w:cantSplit/>
        </w:trPr>
        <w:tc>
          <w:tcPr>
            <w:tcW w:type="dxa" w:w="64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color w:val="000000"/>
                <w:sz w:val="21"/>
                <w:szCs w:val="19"/>
              </w:rPr>
              <w:t>v1.3</w:t>
            </w:r>
          </w:p>
        </w:tc>
        <w:tc>
          <w:tcPr>
            <w:tcW w:type="dxa" w:w="115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color w:val="000000"/>
                <w:sz w:val="21"/>
                <w:szCs w:val="19"/>
              </w:rPr>
              <w:t>March 2026 (after interview 12)</w:t>
            </w:r>
          </w:p>
        </w:tc>
        <w:tc>
          <w:tcPr>
            <w:tcW w:type="dxa" w:w="381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color w:val="000000"/>
                <w:sz w:val="21"/>
                <w:szCs w:val="19"/>
              </w:rPr>
              <w:t>Documentation probe added to B1 (whether the nurse was asked to write the concern down or submit an incident report)</w:t>
            </w:r>
          </w:p>
        </w:tc>
        <w:tc>
          <w:tcPr>
            <w:tcW w:type="dxa" w:w="374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cs="Calibri" w:eastAsia="Calibri" w:hAnsi="Times New Roman"/>
                <w:color w:val="000000"/>
                <w:sz w:val="21"/>
                <w:szCs w:val="19"/>
              </w:rPr>
              <w:t>Developing analysis suggested written documentation operated as a form of substantiation</w:t>
            </w:r>
          </w:p>
        </w:tc>
      </w:tr>
    </w:tbl>
    <w:p>
      <w:pPr>
        <w:pStyle w:val="Heading1"/>
      </w:pPr>
      <w:r>
        <w:t>References</w:t>
      </w:r>
    </w:p>
    <w:p>
      <w:pPr>
        <w:keepLines/>
        <w:spacing w:line="252" w:lineRule="auto" w:after="120"/>
        <w:ind w:left="432" w:hanging="432"/>
      </w:pPr>
      <w:r>
        <w:rPr>
          <w:sz w:val="22"/>
        </w:rPr>
        <w:t xml:space="preserve">Flanagan, J. C. (1954). The critical incident technique. </w:t>
      </w:r>
      <w:r>
        <w:rPr>
          <w:i/>
          <w:sz w:val="22"/>
        </w:rPr>
        <w:t>Psychological Bulletin, 51</w:t>
      </w:r>
      <w:r>
        <w:rPr>
          <w:sz w:val="22"/>
        </w:rPr>
        <w:t>(4), 327–358. https://doi.org/10.1037/h0061470</w:t>
      </w:r>
    </w:p>
    <w:p>
      <w:pPr>
        <w:keepLines/>
        <w:spacing w:line="252" w:lineRule="auto" w:after="120"/>
        <w:ind w:left="432" w:hanging="432"/>
      </w:pPr>
      <w:r>
        <w:rPr>
          <w:sz w:val="22"/>
        </w:rPr>
        <w:t xml:space="preserve">Squires, A. (2009). Methodological challenges in cross-language qualitative research: A research review. </w:t>
      </w:r>
      <w:r>
        <w:rPr>
          <w:i/>
          <w:sz w:val="22"/>
        </w:rPr>
        <w:t>International Journal of Nursing Studies, 46</w:t>
      </w:r>
      <w:r>
        <w:rPr>
          <w:sz w:val="22"/>
        </w:rPr>
        <w:t>(2), 277–287. https://doi.org/10.1016/j.ijnurstu.2008.08.006</w:t>
      </w:r>
    </w:p>
    <w:sectPr w:rsidR="00FC693F" w:rsidRPr="0006063C" w:rsidSect="00034616">
      <w:footerReference w:type="default" r:id="rId9"/>
      <w:headerReference w:type="default" r:id="rId10"/>
      <w:headerReference w:type="first" r:id="rId11"/>
      <w:headerReference w:type="even" r:id="rId12"/>
      <w:pgSz w:w="12240" w:h="15840"/>
      <w:pgMar w:top="1440" w:right="1440" w:bottom="1440"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4" w:lineRule="auto"/>
      <w:outlineLvl w:val="0"/>
    </w:pPr>
    <w:rPr>
      <w:rFonts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264" w:lineRule="auto"/>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120" w:line="26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20" w:line="264" w:lineRule="auto" w:before="0"/>
      <w:contextualSpacing/>
    </w:pPr>
    <w:rPr>
      <w:rFonts w:cstheme="majorBidi" w:ascii="Times New Roman" w:hAnsi="Times New Roman"/>
      <w:b/>
      <w:color w:val="000000"/>
      <w:kern w:val="28"/>
      <w:sz w:val="28"/>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cstheme="majorBidi" w:ascii="Times New Roman" w:hAnsi="Times New Roman"/>
      <w:i w:val="0"/>
      <w:iCs/>
      <w:color w:val="000000"/>
      <w:sz w:val="22"/>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u w:val="single"/>
    </w:rPr>
  </w:style>
  <w:style w:type="character" w:styleId="BookTitle">
    <w:name w:val="Book Title"/>
    <w:basedOn w:val="DefaultParagraphFont"/>
    <w:uiPriority w:val="33"/>
    <w:qFormat/>
    <w:rsid w:val="00FC693F"/>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Burden of Proof: Unit-Level Nurse Managers’ Judgements and Responses to Nurses’ Care Concerns When Quality Indicators Appear Reassuring—An Interpretive Description</dc:title>
  <dc:subject/>
  <dc:creator/>
  <cp:keywords/>
  <dc:description/>
  <cp:lastModifiedBy/>
  <cp:revision>1</cp:revision>
  <dcterms:created xsi:type="dcterms:W3CDTF">2013-12-23T23:15:00Z</dcterms:created>
  <dcterms:modified xsi:type="dcterms:W3CDTF">2013-12-23T23:15:00Z</dcterms:modified>
  <cp:category/>
</cp:coreProperties>
</file>