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w:t>
      </w:r>
      <w:r>
        <w:t xml:space="preserve"> </w:t>
      </w:r>
      <w:r>
        <w:t xml:space="preserve">—</w:t>
      </w:r>
      <w:r>
        <w:t xml:space="preserve"> </w:t>
      </w:r>
      <w:r>
        <w:t xml:space="preserve">AI-Generated</w:t>
      </w:r>
      <w:r>
        <w:t xml:space="preserve"> </w:t>
      </w:r>
      <w:r>
        <w:t xml:space="preserve">Versus</w:t>
      </w:r>
      <w:r>
        <w:t xml:space="preserve"> </w:t>
      </w:r>
      <w:r>
        <w:t xml:space="preserve">Student-Generated</w:t>
      </w:r>
      <w:r>
        <w:t xml:space="preserve"> </w:t>
      </w:r>
      <w:r>
        <w:t xml:space="preserve">Mind</w:t>
      </w:r>
      <w:r>
        <w:t xml:space="preserve"> </w:t>
      </w:r>
      <w:r>
        <w:t xml:space="preserve">Maps</w:t>
      </w:r>
      <w:r>
        <w:t xml:space="preserve"> </w:t>
      </w:r>
      <w:r>
        <w:t xml:space="preserve">for</w:t>
      </w:r>
      <w:r>
        <w:t xml:space="preserve"> </w:t>
      </w:r>
      <w:r>
        <w:t xml:space="preserve">Clinical</w:t>
      </w:r>
      <w:r>
        <w:t xml:space="preserve"> </w:t>
      </w:r>
      <w:r>
        <w:t xml:space="preserve">Reasoning</w:t>
      </w:r>
      <w:r>
        <w:t xml:space="preserve"> </w:t>
      </w:r>
      <w:r>
        <w:t xml:space="preserve">in</w:t>
      </w:r>
      <w:r>
        <w:t xml:space="preserve"> </w:t>
      </w:r>
      <w:r>
        <w:t xml:space="preserve">Pediatric</w:t>
      </w:r>
      <w:r>
        <w:t xml:space="preserve"> </w:t>
      </w:r>
      <w:r>
        <w:t xml:space="preserve">Neurotrauma</w:t>
      </w:r>
      <w:r>
        <w:t xml:space="preserve"> </w:t>
      </w:r>
      <w:r>
        <w:t xml:space="preserve">Nursing</w:t>
      </w:r>
      <w:r>
        <w:t xml:space="preserve"> </w:t>
      </w:r>
      <w:r>
        <w:t xml:space="preserve">Education</w:t>
      </w:r>
    </w:p>
    <w:p>
      <w:pPr>
        <w:pStyle w:val="BlockText"/>
      </w:pPr>
      <w:r>
        <w:rPr>
          <w:bCs/>
          <w:b/>
        </w:rPr>
        <w:t xml:space="preserve">Author note (delete before submission).</w:t>
      </w:r>
      <w:r>
        <w:t xml:space="preserve"> </w:t>
      </w:r>
      <w:r>
        <w:t xml:space="preserve">1. Values in</w:t>
      </w:r>
      <w:r>
        <w:t xml:space="preserve"> </w:t>
      </w:r>
      <w:r>
        <w:rPr>
          <w:bCs/>
          <w:b/>
        </w:rPr>
        <w:t xml:space="preserve">[square brackets]</w:t>
      </w:r>
      <w:r>
        <w:t xml:space="preserve"> </w:t>
      </w:r>
      <w:r>
        <w:t xml:space="preserve">must come from the study records (dates, counts, names, versions). The other text describes the recommended protocol. The study ran from February to May 2026, so the Methods must report what was actually done. Wherever the conduct differed from this text, rewrite the sentence to match the records rather than the template.</w:t>
      </w:r>
      <w:r>
        <w:t xml:space="preserve"> </w:t>
      </w:r>
      <w:r>
        <w:t xml:space="preserve">2.</w:t>
      </w:r>
      <w:r>
        <w:t xml:space="preserve"> </w:t>
      </w:r>
      <w:r>
        <w:rPr>
          <w:bCs/>
          <w:b/>
        </w:rPr>
        <w:t xml:space="preserve">Simulation runs through the whole study, not only the start.</w:t>
      </w:r>
      <w:r>
        <w:t xml:space="preserve"> </w:t>
      </w:r>
      <w:r>
        <w:t xml:space="preserve">Students are assessed in simulation at baseline, every teaching session in all three arms includes a simulated scenario with structured debriefing, and the post-instruction assessment is simulation-based too. Simulation is shared by all arms, so it never distinguishes one arm from another.</w:t>
      </w:r>
      <w:r>
        <w:t xml:space="preserve"> </w:t>
      </w:r>
      <w:r>
        <w:t xml:space="preserve">3.</w:t>
      </w:r>
      <w:r>
        <w:t xml:space="preserve"> </w:t>
      </w:r>
      <w:r>
        <w:rPr>
          <w:bCs/>
          <w:b/>
        </w:rPr>
        <w:t xml:space="preserve">All instruments are researcher-developed and free to use; no permission is needed.</w:t>
      </w:r>
      <w:r>
        <w:t xml:space="preserve"> </w:t>
      </w:r>
      <w:r>
        <w:t xml:space="preserve">The primary rubric follows the published domain structure of the Clinical Reasoning Cycle and CREST but does not reproduce any CREST item. That makes it an original instrument, so no licence is required. If you decide to use CREST items verbatim, ask the developers for permission and change §2.9 accordingly.</w:t>
      </w:r>
      <w:r>
        <w:t xml:space="preserve"> </w:t>
      </w:r>
      <w:r>
        <w:t xml:space="preserve">4. Main-text tables: Table 1 (strategies) and Table 2 (outcomes). Detailed operational material is in Supplementary S1–S3 (Tables S1–S6, Boxes S1–S2), reproduced at the end of this file.</w:t>
      </w:r>
    </w:p>
    <w:bookmarkStart w:id="34" w:name="methods"/>
    <w:p>
      <w:pPr>
        <w:pStyle w:val="Heading1"/>
      </w:pPr>
      <w:r>
        <w:t xml:space="preserve">2. Methods</w:t>
      </w:r>
    </w:p>
    <w:bookmarkStart w:id="20" w:name="study-design-and-reporting"/>
    <w:p>
      <w:pPr>
        <w:pStyle w:val="Heading2"/>
      </w:pPr>
      <w:r>
        <w:t xml:space="preserve">2.1. Study design and reporting</w:t>
      </w:r>
    </w:p>
    <w:p>
      <w:pPr>
        <w:pStyle w:val="FirstParagraph"/>
      </w:pPr>
      <w:r>
        <w:t xml:space="preserve">This study used a concurrent, three-arm, controlled quasi-experimental design with baseline and post-instruction assessments. Simulation-based learning and assessment were built into the whole study. Students completed simulation-based clinical reasoning assessments at baseline and after instruction. Every teaching session in all three arms also included a simulated pediatric head and brain injury scenario followed by structured debriefing. Simulation was therefore a common learning and assessment modality, not a feature that distinguished the arms. The three arms were taught in parallel during the same academic term ([second semester, academic year 2025–2026]). Recruitment and baseline assessment took place [dd Month–dd Month 2026], teaching [dd Month–dd Month 2026] and post-instruction assessment [dd Month–dd Month 2026], all within the approved study period of February to May 2026.</w:t>
      </w:r>
    </w:p>
    <w:p>
      <w:pPr>
        <w:pStyle w:val="BodyText"/>
      </w:pPr>
      <w:r>
        <w:t xml:space="preserve">Allocation to instructional strategy was nonrandom. Intact laboratory sections, the timetabled units in which pediatric laboratory teaching is routinely delivered, were allocated to arms; students were not assigned individually. Students are placed in sections by the faculty timetable before the term begins. Moving individual students between sections would have disrupted scheduled teaching and increased the risk of contamination within sections. [If applicable: Eligible students were invited by simple random sampling from the course enrolment list, using a computer-generated sequence. Random sampling determined who was invited to participate, whereas assignment to an instructional strategy was nonrandom and followed the section-allocation rule described in Section 2.6.]</w:t>
      </w:r>
    </w:p>
    <w:p>
      <w:pPr>
        <w:pStyle w:val="BodyText"/>
      </w:pPr>
      <w:r>
        <w:t xml:space="preserve">The primary comparison was clinically reviewed AI-generated maps versus student-generated maps. The comparisons of each mapping arm with case-based teaching without maps were supporting comparisons. The study was reported according to the Transparent Reporting of Evaluations with Nonrandomized Designs (TREND) statement (Des Jarlais et al., 2004). The three teaching conditions were described using the Template for Intervention Description and Replication (TIDieR) (Hoffmann et al., 2014). Simulation-specific elements followed the reporting extensions for health care simulation research where applicable (Cheng et al., 2016). The completed checklists are provided in Supplementary S3. These checklists support transparent reporting and are not themselves the study methodology.</w:t>
      </w:r>
    </w:p>
    <w:bookmarkEnd w:id="20"/>
    <w:bookmarkStart w:id="21" w:name="X9c40df46cad04a8cfde70f10aee513053323dad"/>
    <w:p>
      <w:pPr>
        <w:pStyle w:val="Heading2"/>
      </w:pPr>
      <w:r>
        <w:t xml:space="preserve">2.2. Theoretical rationale and assessment framework</w:t>
      </w:r>
    </w:p>
    <w:p>
      <w:pPr>
        <w:pStyle w:val="FirstParagraph"/>
      </w:pPr>
      <w:r>
        <w:t xml:space="preserve">Generative Learning provides the conceptual rationale for comparing instructional activities that require learners to select relevant information, organise relationships and integrate new content with prior knowledge (Fiorella and Mayer, 2016). The arms offered these processes in different ways. Students who constructed maps had to select and organise case content themselves. Students who examined, annotated and revised clinically reviewed AI-generated maps worked from a supplied organisation that directed their attention towards interpretation and adaptation. Case analysis without maps also required active interpretation and justification. The Clinical Reasoning Cycle anchored the assessment domains. It links considering the patient situation and collecting and processing cues to identifying problems, establishing goals, taking action, evaluating outcomes and reflecting (Levett-Jones et al., 2010).</w:t>
      </w:r>
    </w:p>
    <w:p>
      <w:pPr>
        <w:pStyle w:val="BodyText"/>
      </w:pPr>
      <w:r>
        <w:t xml:space="preserve">Both frameworks were specified during intervention development [and recorded in the study protocol dated dd Month 2025]. Generative Learning informed the design of the arm-specific activities. The Clinical Reasoning Cycle informed four shared elements: the seven case-analysis headings used in all arms (Section 2.8), the facilitator feedback criteria, the clinical review of AI-generated maps and the primary assessment rubric. These links explain the educational comparison. They do not assume that any strategy is superior, and the proposed learning processes were not measured or tested as mediators. Cognitive load, engagement and cognitive offloading were not measured.</w:t>
      </w:r>
    </w:p>
    <w:bookmarkEnd w:id="21"/>
    <w:bookmarkStart w:id="22" w:name="setting-and-educational-context"/>
    <w:p>
      <w:pPr>
        <w:pStyle w:val="Heading2"/>
      </w:pPr>
      <w:r>
        <w:t xml:space="preserve">2.3. Setting and educational context</w:t>
      </w:r>
    </w:p>
    <w:p>
      <w:pPr>
        <w:pStyle w:val="FirstParagraph"/>
      </w:pPr>
      <w:r>
        <w:t xml:space="preserve">The study took place in the Pediatric Clinical Skills Laboratory of the Faculty of Nursing, Tanta University, Egypt, within the compulsory third-year Pediatric Nursing course. By entry to the course, students had completed [fundamentals of nursing, health assessment, and adult medical–surgical nursing, including adult neurological assessment]. Their previous simulation experience consisted of [describe, e.g., task-trainer skills practice and n low-/medium-fidelity scenarios in adult nursing courses]. English is the language of instruction, assessment and course materials. Students take clinical placements in [the pediatric units of Tanta University Hospitals] alongside laboratory teaching.</w:t>
      </w:r>
    </w:p>
    <w:p>
      <w:pPr>
        <w:pStyle w:val="BodyText"/>
      </w:pPr>
      <w:r>
        <w:t xml:space="preserve">The pediatric neurotrauma unit addressed head and brain injury, including traumatic brain injury (TBI), in children aged [6 months to 15 years]. The teaching and assessment cases ranged from mild to severe injury in emergency-department and ward settings. Clinical content followed current pediatric guidance on assessment and early management. This covered age-appropriate neurological assessment, recognition of deterioration and raised intracranial pressure, prevention of secondary brain injury through attention to oxygenation, circulation, positioning, seizures, temperature and glucose, monitoring, and timely escalation (Kochanek et al., 2019; National Institute for Health and Care Excellence [NICE], 2023; Chan et al., 2025). The nursing learning objectives were:</w:t>
      </w:r>
    </w:p>
    <w:p>
      <w:pPr>
        <w:numPr>
          <w:ilvl w:val="0"/>
          <w:numId w:val="1001"/>
        </w:numPr>
        <w:pStyle w:val="Compact"/>
      </w:pPr>
      <w:r>
        <w:t xml:space="preserve">Perform and interpret an age-appropriate neurological assessment (Glasgow Coma Scale and its pediatric modification, AVPU, pupils, limb movement, fontanelle in infants) and vital signs against age-specific norms.</w:t>
      </w:r>
    </w:p>
    <w:p>
      <w:pPr>
        <w:numPr>
          <w:ilvl w:val="0"/>
          <w:numId w:val="1001"/>
        </w:numPr>
        <w:pStyle w:val="Compact"/>
      </w:pPr>
      <w:r>
        <w:t xml:space="preserve">Recognise early and late signs of neurological deterioration and raised intracranial pressure.</w:t>
      </w:r>
    </w:p>
    <w:p>
      <w:pPr>
        <w:numPr>
          <w:ilvl w:val="0"/>
          <w:numId w:val="1001"/>
        </w:numPr>
        <w:pStyle w:val="Compact"/>
      </w:pPr>
      <w:r>
        <w:t xml:space="preserve">Identify and prioritise nursing problems.</w:t>
      </w:r>
    </w:p>
    <w:p>
      <w:pPr>
        <w:numPr>
          <w:ilvl w:val="0"/>
          <w:numId w:val="1001"/>
        </w:numPr>
        <w:pStyle w:val="Compact"/>
      </w:pPr>
      <w:r>
        <w:t xml:space="preserve">Start priority nursing actions within the nursing scope of practice to limit secondary brain injury, and escalate care using structured communication (SBAR).</w:t>
      </w:r>
    </w:p>
    <w:p>
      <w:pPr>
        <w:numPr>
          <w:ilvl w:val="0"/>
          <w:numId w:val="1001"/>
        </w:numPr>
        <w:pStyle w:val="Compact"/>
      </w:pPr>
      <w:r>
        <w:t xml:space="preserve">Evaluate the child’s responses and plan the content and frequency of reassessment.</w:t>
      </w:r>
    </w:p>
    <w:p>
      <w:pPr>
        <w:numPr>
          <w:ilvl w:val="0"/>
          <w:numId w:val="1001"/>
        </w:numPr>
        <w:pStyle w:val="Compact"/>
      </w:pPr>
      <w:r>
        <w:t xml:space="preserve">Communicate with the family in a family-centred way and provide discharge education, including return precautions.</w:t>
      </w:r>
    </w:p>
    <w:p>
      <w:pPr>
        <w:pStyle w:val="FirstParagraph"/>
      </w:pPr>
      <w:r>
        <w:t xml:space="preserve">The laboratory had [n] simulation rooms. Each was equipped with [pediatric manikin model(s), manufacturer], a simulated patient monitor, oxygen-delivery devices and suction, cervical-spine immobilisation equipment, age-appropriate blood-pressure cuffs, a pupil gauge and penlight, pediatric neurological observation charts, and an audio–video recording system ([name/specification]). The course normally divides students into laboratory sections of about [25–30] students, each split into small groups of [5–6] led by a clinical instructor. Clinical instructors held [a master’s or doctoral degree in pediatric nursing] and had [n] years of teaching experience.</w:t>
      </w:r>
    </w:p>
    <w:bookmarkEnd w:id="22"/>
    <w:bookmarkStart w:id="23" w:name="participants-eligibility-and-recruitment"/>
    <w:p>
      <w:pPr>
        <w:pStyle w:val="Heading2"/>
      </w:pPr>
      <w:r>
        <w:t xml:space="preserve">2.4. Participants, eligibility and recruitment</w:t>
      </w:r>
    </w:p>
    <w:p>
      <w:pPr>
        <w:pStyle w:val="FirstParagraph"/>
      </w:pPr>
      <w:r>
        <w:t xml:space="preserve">The sampling frame was all students enrolled in the third-year Pediatric Nursing course in [academic year 2025–2026] (N = [n], in [n] laboratory sections). Students were eligible if they (a) were enrolled in the course for the first time, (b) were available for the scheduled teaching and both assessment occasions, and (c) gave written informed research consent. Three groups were excluded, each because of prior exposure to the content or cases. These were students repeating the course, who had already been taught the content; students who had taken part in the pilot study, who had seen the assessment cases (Section 2.10); and students with documented previous structured neurotrauma simulation training outside the curriculum. Attendance and completion of the intervention were not eligibility criteria. Withdrawal and non-adherence were handled in the analysis (Section 2.12).</w:t>
      </w:r>
    </w:p>
    <w:p>
      <w:pPr>
        <w:pStyle w:val="BodyText"/>
      </w:pPr>
      <w:r>
        <w:t xml:space="preserve">The study was presented by [a researcher not involved in teaching or grading the participating students] during a scheduled course meeting. Students received a written information sheet and at least [48] hours to decide. The sequence was invitation, written consent, baseline characteristics questionnaire, then baseline assessment. Students who declined took part in their section’s teaching as part of the normal curriculum, but no research data were collected from them. The numbers eligible, approached, consenting, allocated, receiving teaching, assessed and analysed are reported by arm in the participant flow diagram (Figure 1).</w:t>
      </w:r>
    </w:p>
    <w:p>
      <w:pPr>
        <w:pStyle w:val="BodyText"/>
      </w:pPr>
      <w:r>
        <w:t xml:space="preserve">The baseline characteristics questionnaire, developed by the researchers, recorded the following:</w:t>
      </w:r>
    </w:p>
    <w:p>
      <w:pPr>
        <w:numPr>
          <w:ilvl w:val="0"/>
          <w:numId w:val="1002"/>
        </w:numPr>
        <w:pStyle w:val="Compact"/>
      </w:pPr>
      <w:r>
        <w:t xml:space="preserve">age and sex</w:t>
      </w:r>
    </w:p>
    <w:p>
      <w:pPr>
        <w:numPr>
          <w:ilvl w:val="0"/>
          <w:numId w:val="1002"/>
        </w:numPr>
        <w:pStyle w:val="Compact"/>
      </w:pPr>
      <w:r>
        <w:t xml:space="preserve">cumulative grade point average from the previous academic year, taken from faculty records with consent</w:t>
      </w:r>
    </w:p>
    <w:p>
      <w:pPr>
        <w:numPr>
          <w:ilvl w:val="0"/>
          <w:numId w:val="1002"/>
        </w:numPr>
        <w:pStyle w:val="Compact"/>
      </w:pPr>
      <w:r>
        <w:t xml:space="preserve">previous pediatric clinical placement</w:t>
      </w:r>
    </w:p>
    <w:p>
      <w:pPr>
        <w:numPr>
          <w:ilvl w:val="0"/>
          <w:numId w:val="1002"/>
        </w:numPr>
        <w:pStyle w:val="Compact"/>
      </w:pPr>
      <w:r>
        <w:t xml:space="preserve">number of previous simulation sessions</w:t>
      </w:r>
    </w:p>
    <w:p>
      <w:pPr>
        <w:numPr>
          <w:ilvl w:val="0"/>
          <w:numId w:val="1002"/>
        </w:numPr>
        <w:pStyle w:val="Compact"/>
      </w:pPr>
      <w:r>
        <w:t xml:space="preserve">previous use of mind maps or concept maps for study</w:t>
      </w:r>
    </w:p>
    <w:p>
      <w:pPr>
        <w:numPr>
          <w:ilvl w:val="0"/>
          <w:numId w:val="1002"/>
        </w:numPr>
        <w:pStyle w:val="Compact"/>
      </w:pPr>
      <w:r>
        <w:t xml:space="preserve">frequency of previous generative AI use for study (never, occasionally, weekly, daily)</w:t>
      </w:r>
    </w:p>
    <w:p>
      <w:pPr>
        <w:pStyle w:val="FirstParagraph"/>
      </w:pPr>
      <w:r>
        <w:t xml:space="preserve">Baseline scores on all three outcomes were also recorded. Only the covariates collected were used in the analysis.</w:t>
      </w:r>
    </w:p>
    <w:bookmarkEnd w:id="23"/>
    <w:bookmarkStart w:id="24" w:name="sample-size-justification"/>
    <w:p>
      <w:pPr>
        <w:pStyle w:val="Heading2"/>
      </w:pPr>
      <w:r>
        <w:t xml:space="preserve">2.5. Sample-size justification</w:t>
      </w:r>
    </w:p>
    <w:p>
      <w:pPr>
        <w:pStyle w:val="FirstParagraph"/>
      </w:pPr>
      <w:r>
        <w:t xml:space="preserve">The sample size was calculated for the primary comparison: post-instruction clinical reasoning score in the AI-map arm versus the student-map arm, adjusted for baseline score. An educationally important difference was set at 0.5 standard deviations of the clinical reasoning score. Half a standard deviation is a commonly used threshold for a meaningful difference (Norman et al., 2003). [It corresponded to about x points on the 0–24 rubric scale, using the standard deviation of y observed in the pilot study.] The planning assumptions were a baseline–post correlation of 0.50 (conservative for repeated performance measures), a two-sided α of .05, 90% power and 1:1:1 allocation.</w:t>
      </w:r>
    </w:p>
    <w:p>
      <w:pPr>
        <w:pStyle w:val="BodyText"/>
      </w:pPr>
      <w:r>
        <w:t xml:space="preserve">An unadjusted two-group comparison would need 86 students per arm. Adjusting for baseline multiplies the requirement by (1 − ρ²) = 0.75 (Borm et al., 2007), giving 65 students per arm. Because allocation was by intact section, this figure was inflated by the design effect 1 + (m − 1) × ICC. Here m is the mean section size and ICC the intracluster correlation of the outcome between sections. [With m = 25 and an assumed ICC of 0.02, the design effect was 1.48, requiring 97 students per arm. Allowing 10% attrition gave 108 students per arm (324 in total), or at least five sections per arm.] Calculations were performed in [G*Power 3.1.9.7 (Faul et al., 2007), with manual design-effect and attrition adjustment]. The binding design constraint was the number of independent sections per arm. A large number of students cannot compensate for too few independent teaching units.</w:t>
      </w:r>
    </w:p>
    <w:p>
      <w:pPr>
        <w:pStyle w:val="BodyText"/>
      </w:pPr>
      <w:r>
        <w:t xml:space="preserve">[If no a priori calculation was made, replace this subsection with:</w:t>
      </w:r>
      <w:r>
        <w:t xml:space="preserve"> </w:t>
      </w:r>
      <w:r>
        <w:t xml:space="preserve">“</w:t>
      </w:r>
      <w:r>
        <w:t xml:space="preserve">No a priori sample-size calculation was conducted; the sample comprised all consenting eligible students in the [n] sections timetabled in the study term. The precision achievable with this sample is reported as the 95% confidence interval for the primary adjusted difference.</w:t>
      </w:r>
      <w:r>
        <w:t xml:space="preserve">”</w:t>
      </w:r>
      <w:r>
        <w:t xml:space="preserve"> </w:t>
      </w:r>
      <w:r>
        <w:t xml:space="preserve">Do not add a calculation retrospectively or report post hoc observed power.]</w:t>
      </w:r>
    </w:p>
    <w:bookmarkEnd w:id="24"/>
    <w:bookmarkStart w:id="25" w:name="X7e44d43d0b8fe8757fe70ef358db5f6cfc3cb7f"/>
    <w:p>
      <w:pPr>
        <w:pStyle w:val="Heading2"/>
      </w:pPr>
      <w:r>
        <w:t xml:space="preserve">2.6. Allocation, masking and protection against bias</w:t>
      </w:r>
    </w:p>
    <w:p>
      <w:pPr>
        <w:pStyle w:val="FirstParagraph"/>
      </w:pPr>
      <w:r>
        <w:rPr>
          <w:bCs/>
          <w:b/>
        </w:rPr>
        <w:t xml:space="preserve">Allocation.</w:t>
      </w:r>
      <w:r>
        <w:t xml:space="preserve"> </w:t>
      </w:r>
      <w:r>
        <w:t xml:space="preserve">The unit of assignment was the laboratory section. The teaching unit was the small group within a section, and the unit of outcome measurement was the individual student. [n] sections were allocated, [n] to each arm. The allocation rule was set before baseline assessment: [e.g., sections were listed in timetable order and assigned in a rotating sequence, 1 → AI-map, 2 → student-map, 3 → no-map, 4 → AI-map, and so on]. This spread the arms across teaching days and times of day. Allocation was carried out by [the course coordinator, who did not teach in the study or rate outcomes] on [date]. Students could not choose or change their section or instructional strategy.</w:t>
      </w:r>
    </w:p>
    <w:p>
      <w:pPr>
        <w:pStyle w:val="BodyText"/>
      </w:pPr>
      <w:r>
        <w:rPr>
          <w:bCs/>
          <w:b/>
        </w:rPr>
        <w:t xml:space="preserve">Facilitators.</w:t>
      </w:r>
      <w:r>
        <w:t xml:space="preserve"> </w:t>
      </w:r>
      <w:r>
        <w:t xml:space="preserve">Each of the [n] facilitators taught at least one section in each arm. This crossed facilitators with strategies so that instructor effects were not confounded with arm. No arm was represented by a single section, facilitator or teaching day. [Report the actual number of sections and facilitators per arm.]</w:t>
      </w:r>
    </w:p>
    <w:p>
      <w:pPr>
        <w:pStyle w:val="BodyText"/>
      </w:pPr>
      <w:r>
        <w:rPr>
          <w:bCs/>
          <w:b/>
        </w:rPr>
        <w:t xml:space="preserve">Masking.</w:t>
      </w:r>
      <w:r>
        <w:t xml:space="preserve"> </w:t>
      </w:r>
      <w:r>
        <w:t xml:space="preserve">Students and facilitators could not be masked to the learning activity. Outcome raters were masked to both arm and assessment occasion. All baseline and post-instruction recordings were renamed with random codes, mixed together and rated in random order only after post-instruction data collection had ended. Before each recording, students were reminded not to mention their teaching activity, and raters recorded any slips. After each recording, raters noted their guess of arm and occasion so that the success of masking could be described. The statistician analysed data with arms coded X, Y and Z until the primary model was finalised.</w:t>
      </w:r>
    </w:p>
    <w:p>
      <w:pPr>
        <w:pStyle w:val="BodyText"/>
      </w:pPr>
      <w:r>
        <w:rPr>
          <w:bCs/>
          <w:b/>
        </w:rPr>
        <w:t xml:space="preserve">Standardisation and contamination control.</w:t>
      </w:r>
      <w:r>
        <w:t xml:space="preserve"> </w:t>
      </w:r>
      <w:r>
        <w:t xml:space="preserve">All arms received the same core content, pre-class materials, case set, scheduled contact time, simulation practice, debriefing method and facilitator feedback criteria (Table 1; Supplementary Table S1). Arm-specific materials and student work were collected at the end of each session and not released until after post-instruction assessment. Students were asked not to share session materials or discuss them with students in other sections until the study ended. At post-instruction assessment, students reported on a brief contamination questionnaire whether they had (a) seen or used materials from another arm, (b) used generative AI to study the neurotrauma content, (c) received additional tutoring, and (d) spent self-reported additional study time on the content.</w:t>
      </w:r>
    </w:p>
    <w:bookmarkEnd w:id="25"/>
    <w:bookmarkStart w:id="26" w:name="Xd6c39370c9b5a1023406cfa2c9091e15988c518"/>
    <w:p>
      <w:pPr>
        <w:pStyle w:val="Heading2"/>
      </w:pPr>
      <w:r>
        <w:t xml:space="preserve">2.7. Educational materials and AI-map development</w:t>
      </w:r>
    </w:p>
    <w:p>
      <w:pPr>
        <w:pStyle w:val="FirstParagraph"/>
      </w:pPr>
      <w:r>
        <w:rPr>
          <w:bCs/>
          <w:b/>
        </w:rPr>
        <w:t xml:space="preserve">Curriculum blueprint and cases.</w:t>
      </w:r>
      <w:r>
        <w:t xml:space="preserve"> </w:t>
      </w:r>
      <w:r>
        <w:t xml:space="preserve">The research team developed a curriculum blueprint linking the six learning objectives to four session topics, eight fictional teaching cases (an index case and a variant case for each session) and four separate assessment cases (Section 2.9; Supplementary Table S2). Developmental stage, mechanism of injury, severity, setting and key cues varied systematically across the cases. The team comprised [n pediatric nursing faculty, a pediatric critical care nurse specialist and a pediatric neurosurgeon or intensivist]. Case content was checked against the pediatric guidance cited in Section 2.3. All case material was fictional and contained no identifiable patient information.</w:t>
      </w:r>
    </w:p>
    <w:p>
      <w:pPr>
        <w:pStyle w:val="BodyText"/>
      </w:pPr>
      <w:r>
        <w:rPr>
          <w:bCs/>
          <w:b/>
        </w:rPr>
        <w:t xml:space="preserve">Pre-class materials (common to all arms).</w:t>
      </w:r>
      <w:r>
        <w:t xml:space="preserve"> </w:t>
      </w:r>
      <w:r>
        <w:t xml:space="preserve">For each session, students received through [the faculty learning management system] the following:</w:t>
      </w:r>
    </w:p>
    <w:p>
      <w:pPr>
        <w:numPr>
          <w:ilvl w:val="0"/>
          <w:numId w:val="1003"/>
        </w:numPr>
        <w:pStyle w:val="Compact"/>
      </w:pPr>
      <w:r>
        <w:t xml:space="preserve">a narrated slide presentation of about [25] minutes</w:t>
      </w:r>
    </w:p>
    <w:p>
      <w:pPr>
        <w:numPr>
          <w:ilvl w:val="0"/>
          <w:numId w:val="1003"/>
        </w:numPr>
        <w:pStyle w:val="Compact"/>
      </w:pPr>
      <w:r>
        <w:t xml:space="preserve">a [4–6]-page reading guide</w:t>
      </w:r>
    </w:p>
    <w:p>
      <w:pPr>
        <w:numPr>
          <w:ilvl w:val="0"/>
          <w:numId w:val="1003"/>
        </w:numPr>
        <w:pStyle w:val="Compact"/>
      </w:pPr>
      <w:r>
        <w:t xml:space="preserve">a short non-graded self-check quiz</w:t>
      </w:r>
    </w:p>
    <w:p>
      <w:pPr>
        <w:pStyle w:val="FirstParagraph"/>
      </w:pPr>
      <w:r>
        <w:t xml:space="preserve">Pre-class materials were identical across arms, contained no mind maps, and required about [60] minutes per session.</w:t>
      </w:r>
    </w:p>
    <w:p>
      <w:pPr>
        <w:pStyle w:val="BodyText"/>
      </w:pPr>
      <w:r>
        <w:rPr>
          <w:bCs/>
          <w:b/>
        </w:rPr>
        <w:t xml:space="preserve">AI-map generation.</w:t>
      </w:r>
      <w:r>
        <w:t xml:space="preserve"> </w:t>
      </w:r>
      <w:r>
        <w:t xml:space="preserve">Maps for the AI-map arm were generated by [two] educators using [platform and provider, e.g., ChatGPT, OpenAI; model: name/version, or</w:t>
      </w:r>
      <w:r>
        <w:t xml:space="preserve"> </w:t>
      </w:r>
      <w:r>
        <w:t xml:space="preserve">“</w:t>
      </w:r>
      <w:r>
        <w:t xml:space="preserve">underlying model not disclosed by the provider</w:t>
      </w:r>
      <w:r>
        <w:t xml:space="preserve">”</w:t>
      </w:r>
      <w:r>
        <w:t xml:space="preserve">], accessed through [web interface/subscription tier] between [dd Month and dd Month 2026]. The consumer interface did not expose generation parameters such as temperature, so default settings were used. Each map was generated in a new conversation with chat history, memory and personalisation features switched off, to avoid carry-over between prompts. The input for each map consisted of the fictional index case, the session learning objectives, the seven Clinical Reasoning Cycle headings and a team-written summary of the relevant guideline key points. No student data or copyrighted text was entered. The complete prompt is reported in Supplementary Box S1.</w:t>
      </w:r>
    </w:p>
    <w:p>
      <w:pPr>
        <w:pStyle w:val="BodyText"/>
      </w:pPr>
      <w:r>
        <w:t xml:space="preserve">The AI was asked to return a hierarchical outline with no more than three levels and short keyword nodes. Three independent generations were produced for each case. Two educators independently scored each generation with the AI-Map Clinical Review Checklist (Supplementary Table S6), and the highest-scoring generation went forward to clinical review. All raw outputs were archived with their dates. The selected outline was converted into a radial mind-map layout using [free software, e.g., Markmap (open source) or diagrams.net]. Formatting (layout, colours, icons) was logged separately from changes to content, so that AI generation could be distinguished from human editing.</w:t>
      </w:r>
    </w:p>
    <w:p>
      <w:pPr>
        <w:pStyle w:val="BodyText"/>
      </w:pPr>
      <w:r>
        <w:rPr>
          <w:bCs/>
          <w:b/>
        </w:rPr>
        <w:t xml:space="preserve">Clinical review.</w:t>
      </w:r>
      <w:r>
        <w:t xml:space="preserve"> </w:t>
      </w:r>
      <w:r>
        <w:t xml:space="preserve">Three reviewers independently checked each selected map node by node using the AI-Map Clinical Review Checklist: [a professor of pediatric nursing, a pediatric critical care nurse specialist and a pediatric neurosurgeon or intensivist, each with at least n years’ experience]. The checklist covers:</w:t>
      </w:r>
    </w:p>
    <w:p>
      <w:pPr>
        <w:numPr>
          <w:ilvl w:val="0"/>
          <w:numId w:val="1004"/>
        </w:numPr>
        <w:pStyle w:val="Compact"/>
      </w:pPr>
      <w:r>
        <w:t xml:space="preserve">factual accuracy</w:t>
      </w:r>
    </w:p>
    <w:p>
      <w:pPr>
        <w:numPr>
          <w:ilvl w:val="0"/>
          <w:numId w:val="1004"/>
        </w:numPr>
        <w:pStyle w:val="Compact"/>
      </w:pPr>
      <w:r>
        <w:t xml:space="preserve">agreement with the cited guidance</w:t>
      </w:r>
    </w:p>
    <w:p>
      <w:pPr>
        <w:numPr>
          <w:ilvl w:val="0"/>
          <w:numId w:val="1004"/>
        </w:numPr>
        <w:pStyle w:val="Compact"/>
      </w:pPr>
      <w:r>
        <w:t xml:space="preserve">age appropriateness of normal values and interventions</w:t>
      </w:r>
    </w:p>
    <w:p>
      <w:pPr>
        <w:numPr>
          <w:ilvl w:val="0"/>
          <w:numId w:val="1004"/>
        </w:numPr>
        <w:pStyle w:val="Compact"/>
      </w:pPr>
      <w:r>
        <w:t xml:space="preserve">consistency with the nursing scope of practice</w:t>
      </w:r>
    </w:p>
    <w:p>
      <w:pPr>
        <w:numPr>
          <w:ilvl w:val="0"/>
          <w:numId w:val="1004"/>
        </w:numPr>
        <w:pStyle w:val="Compact"/>
      </w:pPr>
      <w:r>
        <w:t xml:space="preserve">safety and correct ordering of priorities</w:t>
      </w:r>
    </w:p>
    <w:p>
      <w:pPr>
        <w:numPr>
          <w:ilvl w:val="0"/>
          <w:numId w:val="1004"/>
        </w:numPr>
        <w:pStyle w:val="Compact"/>
      </w:pPr>
      <w:r>
        <w:t xml:space="preserve">omission of critical cues or actions</w:t>
      </w:r>
    </w:p>
    <w:p>
      <w:pPr>
        <w:numPr>
          <w:ilvl w:val="0"/>
          <w:numId w:val="1004"/>
        </w:numPr>
        <w:pStyle w:val="Compact"/>
      </w:pPr>
      <w:r>
        <w:t xml:space="preserve">clarity</w:t>
      </w:r>
    </w:p>
    <w:p>
      <w:pPr>
        <w:pStyle w:val="FirstParagraph"/>
      </w:pPr>
      <w:r>
        <w:t xml:space="preserve">For each node, reviewers decided to retain, modify, delete or add content. Disagreements were resolved at a consensus meeting. Every change was recorded in an error log by category: factual error, unsafe or mis-ordered priority, unsupported content, omission, outside nursing scope, or not age-appropriate. Final maps were approved, version-numbered and frozen on [date], before teaching began. The proportions of AI-generated nodes that were retained, modified, deleted or added are reported descriptively. The original outputs, the error log and examples of the final maps are provided in Supplementary S1.</w:t>
      </w:r>
    </w:p>
    <w:bookmarkEnd w:id="26"/>
    <w:bookmarkStart w:id="27" w:name="instructional-strategies-and-delivery"/>
    <w:p>
      <w:pPr>
        <w:pStyle w:val="Heading2"/>
      </w:pPr>
      <w:r>
        <w:t xml:space="preserve">2.8. Instructional strategies and delivery</w:t>
      </w:r>
    </w:p>
    <w:p>
      <w:pPr>
        <w:pStyle w:val="FirstParagraph"/>
      </w:pPr>
      <w:r>
        <w:rPr>
          <w:bCs/>
          <w:b/>
        </w:rPr>
        <w:t xml:space="preserve">Common structure.</w:t>
      </w:r>
      <w:r>
        <w:t xml:space="preserve"> </w:t>
      </w:r>
      <w:r>
        <w:t xml:space="preserve">The intervention ran over [five] weeks. In week 0, each arm had a [30]-minute orientation session. Four weekly 180-minute teaching sessions followed (Supplementary Table S1). Total contact time was therefore [750] minutes per arm, plus about [240] minutes of common pre-class preparation.</w:t>
      </w:r>
    </w:p>
    <w:p>
      <w:pPr>
        <w:pStyle w:val="BodyText"/>
      </w:pPr>
      <w:r>
        <w:t xml:space="preserve">The orientation session used the same non-neurological practice case ([pediatric dehydration]) in every arm. Each arm was introduced only to the representation it would use: reading, annotating and revising a supplied map; constructing a map; or completing the structured case-analysis worksheet.</w:t>
      </w:r>
    </w:p>
    <w:p>
      <w:pPr>
        <w:pStyle w:val="BodyText"/>
      </w:pPr>
      <w:r>
        <w:t xml:space="preserve">All arms used the same seven case-analysis headings derived from the Clinical Reasoning Cycle:</w:t>
      </w:r>
    </w:p>
    <w:p>
      <w:pPr>
        <w:numPr>
          <w:ilvl w:val="0"/>
          <w:numId w:val="1005"/>
        </w:numPr>
        <w:pStyle w:val="Compact"/>
      </w:pPr>
      <w:r>
        <w:t xml:space="preserve">the child and situation</w:t>
      </w:r>
    </w:p>
    <w:p>
      <w:pPr>
        <w:numPr>
          <w:ilvl w:val="0"/>
          <w:numId w:val="1005"/>
        </w:numPr>
        <w:pStyle w:val="Compact"/>
      </w:pPr>
      <w:r>
        <w:t xml:space="preserve">cues</w:t>
      </w:r>
    </w:p>
    <w:p>
      <w:pPr>
        <w:numPr>
          <w:ilvl w:val="0"/>
          <w:numId w:val="1005"/>
        </w:numPr>
        <w:pStyle w:val="Compact"/>
      </w:pPr>
      <w:r>
        <w:t xml:space="preserve">interpretation</w:t>
      </w:r>
    </w:p>
    <w:p>
      <w:pPr>
        <w:numPr>
          <w:ilvl w:val="0"/>
          <w:numId w:val="1005"/>
        </w:numPr>
        <w:pStyle w:val="Compact"/>
      </w:pPr>
      <w:r>
        <w:t xml:space="preserve">prioritised nursing problems</w:t>
      </w:r>
    </w:p>
    <w:p>
      <w:pPr>
        <w:numPr>
          <w:ilvl w:val="0"/>
          <w:numId w:val="1005"/>
        </w:numPr>
        <w:pStyle w:val="Compact"/>
      </w:pPr>
      <w:r>
        <w:t xml:space="preserve">goals</w:t>
      </w:r>
    </w:p>
    <w:p>
      <w:pPr>
        <w:numPr>
          <w:ilvl w:val="0"/>
          <w:numId w:val="1005"/>
        </w:numPr>
        <w:pStyle w:val="Compact"/>
      </w:pPr>
      <w:r>
        <w:t xml:space="preserve">actions and rationale, including escalation</w:t>
      </w:r>
    </w:p>
    <w:p>
      <w:pPr>
        <w:numPr>
          <w:ilvl w:val="0"/>
          <w:numId w:val="1005"/>
        </w:numPr>
        <w:pStyle w:val="Compact"/>
      </w:pPr>
      <w:r>
        <w:t xml:space="preserve">evaluation and reassessment</w:t>
      </w:r>
    </w:p>
    <w:p>
      <w:pPr>
        <w:pStyle w:val="FirstParagraph"/>
      </w:pPr>
      <w:r>
        <w:t xml:space="preserve">The arms differed in how students worked with these headings: as the main branches of a supplied map, of a self-constructed map, or of a linear worksheet. They also differed in whether the organised content was supplied or constructed by the students. Each 180-minute session followed the same timed sequence in all arms:</w:t>
      </w:r>
    </w:p>
    <w:p>
      <w:pPr>
        <w:numPr>
          <w:ilvl w:val="0"/>
          <w:numId w:val="1006"/>
        </w:numPr>
        <w:pStyle w:val="Compact"/>
      </w:pPr>
      <w:r>
        <w:rPr>
          <w:bCs/>
          <w:b/>
        </w:rPr>
        <w:t xml:space="preserve">Readiness check (15 minutes).</w:t>
      </w:r>
      <w:r>
        <w:t xml:space="preserve"> </w:t>
      </w:r>
      <w:r>
        <w:t xml:space="preserve">A non-graded check of pre-class learning, with clarification of questions.</w:t>
      </w:r>
    </w:p>
    <w:p>
      <w:pPr>
        <w:numPr>
          <w:ilvl w:val="0"/>
          <w:numId w:val="1006"/>
        </w:numPr>
        <w:pStyle w:val="Compact"/>
      </w:pPr>
      <w:r>
        <w:rPr>
          <w:bCs/>
          <w:b/>
        </w:rPr>
        <w:t xml:space="preserve">Arm-specific case work on the index case (75 minutes).</w:t>
      </w:r>
      <w:r>
        <w:t xml:space="preserve"> </w:t>
      </w:r>
      <w:r>
        <w:t xml:space="preserve">Individual work for 30 minutes, small-group work for 30 minutes, then facilitator feedback for 15 minutes.</w:t>
      </w:r>
    </w:p>
    <w:p>
      <w:pPr>
        <w:numPr>
          <w:ilvl w:val="0"/>
          <w:numId w:val="1006"/>
        </w:numPr>
        <w:pStyle w:val="Compact"/>
      </w:pPr>
      <w:r>
        <w:rPr>
          <w:bCs/>
          <w:b/>
        </w:rPr>
        <w:t xml:space="preserve">Simulation prebriefing (10 minutes).</w:t>
      </w:r>
    </w:p>
    <w:p>
      <w:pPr>
        <w:numPr>
          <w:ilvl w:val="0"/>
          <w:numId w:val="1006"/>
        </w:numPr>
        <w:pStyle w:val="Compact"/>
      </w:pPr>
      <w:r>
        <w:rPr>
          <w:bCs/>
          <w:b/>
        </w:rPr>
        <w:t xml:space="preserve">Simulated scenario based on the variant case (50 minutes).</w:t>
      </w:r>
      <w:r>
        <w:t xml:space="preserve"> </w:t>
      </w:r>
      <w:r>
        <w:t xml:space="preserve">Two runs, each a 10-minute scenario followed by a 15-minute debriefing, with two to three active students and the others observing with a structured observer guide.</w:t>
      </w:r>
    </w:p>
    <w:p>
      <w:pPr>
        <w:numPr>
          <w:ilvl w:val="0"/>
          <w:numId w:val="1006"/>
        </w:numPr>
        <w:pStyle w:val="Compact"/>
      </w:pPr>
      <w:r>
        <w:rPr>
          <w:bCs/>
          <w:b/>
        </w:rPr>
        <w:t xml:space="preserve">Consolidation (20 minutes).</w:t>
      </w:r>
      <w:r>
        <w:t xml:space="preserve"> </w:t>
      </w:r>
      <w:r>
        <w:t xml:space="preserve">Students updated their map or worksheet in light of the variant case and the debriefing.</w:t>
      </w:r>
    </w:p>
    <w:p>
      <w:pPr>
        <w:numPr>
          <w:ilvl w:val="0"/>
          <w:numId w:val="1006"/>
        </w:numPr>
        <w:pStyle w:val="Compact"/>
      </w:pPr>
      <w:r>
        <w:rPr>
          <w:bCs/>
          <w:b/>
        </w:rPr>
        <w:t xml:space="preserve">Summary (10 minutes).</w:t>
      </w:r>
    </w:p>
    <w:p>
      <w:pPr>
        <w:pStyle w:val="FirstParagraph"/>
      </w:pPr>
      <w:r>
        <w:t xml:space="preserve">Each student held an active role in at least two scenarios over the four sessions. Scenario design, prebriefing and debriefing followed the Healthcare Simulation Standards of Best Practice (Watts et al., 2021; Persico et al., 2025; Decker et al., 2025). Debriefing used the PEARLS framework (Eppich and Cheng, 2015) in all arms.</w:t>
      </w:r>
    </w:p>
    <w:p>
      <w:pPr>
        <w:pStyle w:val="BodyText"/>
      </w:pPr>
      <w:r>
        <w:t xml:space="preserve">Facilitators gave feedback in all arms against the same five Shared Facilitator Feedback Criteria:</w:t>
      </w:r>
    </w:p>
    <w:p>
      <w:pPr>
        <w:numPr>
          <w:ilvl w:val="0"/>
          <w:numId w:val="1007"/>
        </w:numPr>
        <w:pStyle w:val="Compact"/>
      </w:pPr>
      <w:r>
        <w:t xml:space="preserve">accuracy and completeness of cues</w:t>
      </w:r>
    </w:p>
    <w:p>
      <w:pPr>
        <w:numPr>
          <w:ilvl w:val="0"/>
          <w:numId w:val="1007"/>
        </w:numPr>
        <w:pStyle w:val="Compact"/>
      </w:pPr>
      <w:r>
        <w:t xml:space="preserve">interpretation against age-specific norms</w:t>
      </w:r>
    </w:p>
    <w:p>
      <w:pPr>
        <w:numPr>
          <w:ilvl w:val="0"/>
          <w:numId w:val="1007"/>
        </w:numPr>
        <w:pStyle w:val="Compact"/>
      </w:pPr>
      <w:r>
        <w:t xml:space="preserve">prioritisation with rationale</w:t>
      </w:r>
    </w:p>
    <w:p>
      <w:pPr>
        <w:numPr>
          <w:ilvl w:val="0"/>
          <w:numId w:val="1007"/>
        </w:numPr>
        <w:pStyle w:val="Compact"/>
      </w:pPr>
      <w:r>
        <w:t xml:space="preserve">safety and scope of actions, including escalation</w:t>
      </w:r>
    </w:p>
    <w:p>
      <w:pPr>
        <w:numPr>
          <w:ilvl w:val="0"/>
          <w:numId w:val="1007"/>
        </w:numPr>
        <w:pStyle w:val="Compact"/>
      </w:pPr>
      <w:r>
        <w:t xml:space="preserve">the evaluation and reassessment plan</w:t>
      </w:r>
    </w:p>
    <w:p>
      <w:pPr>
        <w:pStyle w:val="FirstParagraph"/>
      </w:pPr>
      <w:r>
        <w:t xml:space="preserve">No arm received model answers during the study. Facilitators attended [two] standardisation workshops ([8] hours in total) covering the arm protocols, the feedback criteria and PEARLS debriefing. Facilitators did not rate outcomes.</w:t>
      </w:r>
    </w:p>
    <w:p>
      <w:pPr>
        <w:pStyle w:val="BodyText"/>
      </w:pPr>
      <w:r>
        <w:rPr>
          <w:bCs/>
          <w:b/>
        </w:rPr>
        <w:t xml:space="preserve">AI-map arm.</w:t>
      </w:r>
      <w:r>
        <w:t xml:space="preserve"> </w:t>
      </w:r>
      <w:r>
        <w:t xml:space="preserve">Students received a printed A3 colour copy of the clinically reviewed AI-generated map for the index case. For 30 minutes they worked individually, examining and annotating the map with a standard key: highlighting the nodes supported by cues in the case, numbering the priorities, writing a rationale beside each action and drawing links between cues and problems. In small groups (30 minutes) they revised the map to fit the specific child, removing irrelevant nodes, adding case-specific nodes, reordering priorities and adding links. They recorded a one-line justification for each change in a revision log. Students then applied the revised map in the simulated variant case and in the consolidation phase. Students did not interact with generative AI at any point. Their direct use of a chatbot was not part of the intervention.</w:t>
      </w:r>
    </w:p>
    <w:p>
      <w:pPr>
        <w:pStyle w:val="BodyText"/>
      </w:pPr>
      <w:r>
        <w:rPr>
          <w:bCs/>
          <w:b/>
        </w:rPr>
        <w:t xml:space="preserve">Student-map arm.</w:t>
      </w:r>
      <w:r>
        <w:t xml:space="preserve"> </w:t>
      </w:r>
      <w:r>
        <w:t xml:space="preserve">Students constructed their own mind map for the index case on blank A3 paper. The central node and the seven common headings were pre-printed as main branches, and no generative AI was used. They built maps individually for 30 minutes, selecting the relevant case information and adding sub-branches, keywords, colours and cross-links. In small groups (30 minutes) they compared their maps and built a consolidated group map with a revision log. They then applied it in the simulated variant case and the consolidation phase.</w:t>
      </w:r>
    </w:p>
    <w:p>
      <w:pPr>
        <w:pStyle w:val="BodyText"/>
      </w:pPr>
      <w:r>
        <w:rPr>
          <w:bCs/>
          <w:b/>
        </w:rPr>
        <w:t xml:space="preserve">No-map comparator.</w:t>
      </w:r>
      <w:r>
        <w:t xml:space="preserve"> </w:t>
      </w:r>
      <w:r>
        <w:t xml:space="preserve">Students analysed the same index case using a structured worksheet in which the seven common headings appeared as linear prompts, with no mind maps. They worked individually for 30 minutes and then, in small groups (30 minutes), produced a consolidated worksheet with a justification log. They applied it in the simulated variant case and the consolidation phase. Contact time, practice and feedback matched the other arms.</w:t>
      </w:r>
    </w:p>
    <w:p>
      <w:pPr>
        <w:pStyle w:val="BodyText"/>
      </w:pPr>
      <w:r>
        <w:rPr>
          <w:bCs/>
          <w:b/>
        </w:rPr>
        <w:t xml:space="preserve">Tailoring, fidelity and completion.</w:t>
      </w:r>
      <w:r>
        <w:t xml:space="preserve"> </w:t>
      </w:r>
      <w:r>
        <w:t xml:space="preserve">Facilitators could vary the pace of discussion within each block but could not change block timing, materials, the feedback criteria or the case content. Completion of teaching was defined as attending the orientation and at least three of the four sessions. The following fidelity indicators were recorded:</w:t>
      </w:r>
    </w:p>
    <w:p>
      <w:pPr>
        <w:numPr>
          <w:ilvl w:val="0"/>
          <w:numId w:val="1008"/>
        </w:numPr>
        <w:pStyle w:val="Compact"/>
      </w:pPr>
      <w:r>
        <w:t xml:space="preserve">attendance</w:t>
      </w:r>
    </w:p>
    <w:p>
      <w:pPr>
        <w:numPr>
          <w:ilvl w:val="0"/>
          <w:numId w:val="1008"/>
        </w:numPr>
        <w:pStyle w:val="Compact"/>
      </w:pPr>
      <w:r>
        <w:t xml:space="preserve">completion of pre-class material, from learning-management-system logs</w:t>
      </w:r>
    </w:p>
    <w:p>
      <w:pPr>
        <w:numPr>
          <w:ilvl w:val="0"/>
          <w:numId w:val="1008"/>
        </w:numPr>
        <w:pStyle w:val="Compact"/>
      </w:pPr>
      <w:r>
        <w:t xml:space="preserve">submission of the arm-specific product (annotated map, constructed map or worksheet), photographed at session end</w:t>
      </w:r>
    </w:p>
    <w:p>
      <w:pPr>
        <w:numPr>
          <w:ilvl w:val="0"/>
          <w:numId w:val="1008"/>
        </w:numPr>
        <w:pStyle w:val="Compact"/>
      </w:pPr>
      <w:r>
        <w:t xml:space="preserve">delivery of each feedback criterion, from a facilitator log</w:t>
      </w:r>
    </w:p>
    <w:p>
      <w:pPr>
        <w:numPr>
          <w:ilvl w:val="0"/>
          <w:numId w:val="1008"/>
        </w:numPr>
        <w:pStyle w:val="Compact"/>
      </w:pPr>
      <w:r>
        <w:t xml:space="preserve">adherence to the timed session structure</w:t>
      </w:r>
    </w:p>
    <w:p>
      <w:pPr>
        <w:pStyle w:val="FirstParagraph"/>
      </w:pPr>
      <w:r>
        <w:t xml:space="preserve">An observer who did not teach the session completed the fidelity checklist for a random [25%] of sessions in each arm. All changes from the planned delivery and their reasons were documented.</w:t>
      </w:r>
    </w:p>
    <w:p>
      <w:pPr>
        <w:pStyle w:val="BodyText"/>
      </w:pPr>
      <w:r>
        <w:rPr>
          <w:bCs/>
          <w:b/>
        </w:rPr>
        <w:t xml:space="preserve">Equity.</w:t>
      </w:r>
      <w:r>
        <w:t xml:space="preserve"> </w:t>
      </w:r>
      <w:r>
        <w:t xml:space="preserve">After post-instruction assessment, all participating students received the materials of the other arms: the AI-generated maps, the map-construction guide and the case-analysis worksheets.</w:t>
      </w:r>
    </w:p>
    <w:p>
      <w:pPr>
        <w:pStyle w:val="BodyText"/>
      </w:pPr>
      <w:r>
        <w:rPr>
          <w:bCs/>
          <w:b/>
        </w:rPr>
        <w:t xml:space="preserve">Table 1.</w:t>
      </w:r>
      <w:r>
        <w:t xml:space="preserve"> </w:t>
      </w:r>
      <w:r>
        <w:t xml:space="preserve">Characteristics of the three instructional strategies.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AI-generated maps</w:t>
            </w:r>
          </w:p>
        </w:tc>
        <w:tc>
          <w:tcPr/>
          <w:p>
            <w:pPr>
              <w:pStyle w:val="Compact"/>
              <w:jc w:val="left"/>
            </w:pPr>
            <w:r>
              <w:t xml:space="preserve">Student-generated maps</w:t>
            </w:r>
          </w:p>
        </w:tc>
        <w:tc>
          <w:tcPr/>
          <w:p>
            <w:pPr>
              <w:pStyle w:val="Compact"/>
              <w:jc w:val="left"/>
            </w:pPr>
            <w:r>
              <w:t xml:space="preserve">No-map comparator</w:t>
            </w:r>
          </w:p>
        </w:tc>
      </w:tr>
      <w:tr>
        <w:tc>
          <w:tcPr/>
          <w:p>
            <w:pPr>
              <w:pStyle w:val="Compact"/>
              <w:jc w:val="left"/>
            </w:pPr>
            <w:r>
              <w:t xml:space="preserve">Common preparation</w:t>
            </w:r>
          </w:p>
        </w:tc>
        <w:tc>
          <w:tcPr/>
          <w:p>
            <w:pPr>
              <w:pStyle w:val="Compact"/>
              <w:jc w:val="left"/>
            </w:pPr>
            <w:r>
              <w:t xml:space="preserve">Same flipped pre-class package ([4 × ~60] min)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Orientation</w:t>
            </w:r>
          </w:p>
        </w:tc>
        <w:tc>
          <w:tcPr/>
          <w:p>
            <w:pPr>
              <w:pStyle w:val="Compact"/>
              <w:jc w:val="left"/>
            </w:pPr>
            <w:r>
              <w:t xml:space="preserve">[30] min: reading, annotating and revising a supplied map</w:t>
            </w:r>
          </w:p>
        </w:tc>
        <w:tc>
          <w:tcPr/>
          <w:p>
            <w:pPr>
              <w:pStyle w:val="Compact"/>
              <w:jc w:val="left"/>
            </w:pPr>
            <w:r>
              <w:t xml:space="preserve">[30] min: constructing a mind map</w:t>
            </w:r>
          </w:p>
        </w:tc>
        <w:tc>
          <w:tcPr/>
          <w:p>
            <w:pPr>
              <w:pStyle w:val="Compact"/>
              <w:jc w:val="left"/>
            </w:pPr>
            <w:r>
              <w:t xml:space="preserve">[30] min: structured case-analysis worksheet</w:t>
            </w:r>
          </w:p>
        </w:tc>
      </w:tr>
      <w:tr>
        <w:tc>
          <w:tcPr/>
          <w:p>
            <w:pPr>
              <w:pStyle w:val="Compact"/>
              <w:jc w:val="left"/>
            </w:pPr>
            <w:r>
              <w:t xml:space="preserve">Map source</w:t>
            </w:r>
          </w:p>
        </w:tc>
        <w:tc>
          <w:tcPr/>
          <w:p>
            <w:pPr>
              <w:pStyle w:val="Compact"/>
              <w:jc w:val="left"/>
            </w:pPr>
            <w:r>
              <w:t xml:space="preserve">Generated by educators using AI; clinically reviewed by three experts; frozen before use</w:t>
            </w:r>
          </w:p>
        </w:tc>
        <w:tc>
          <w:tcPr/>
          <w:p>
            <w:pPr>
              <w:pStyle w:val="Compact"/>
              <w:jc w:val="left"/>
            </w:pPr>
            <w:r>
              <w:t xml:space="preserve">Constructed by students</w:t>
            </w:r>
          </w:p>
        </w:tc>
        <w:tc>
          <w:tcPr/>
          <w:p>
            <w:pPr>
              <w:pStyle w:val="Compact"/>
              <w:jc w:val="left"/>
            </w:pPr>
            <w:r>
              <w:t xml:space="preserve">No mind maps</w:t>
            </w:r>
          </w:p>
        </w:tc>
      </w:tr>
      <w:tr>
        <w:tc>
          <w:tcPr/>
          <w:p>
            <w:pPr>
              <w:pStyle w:val="Compact"/>
              <w:jc w:val="left"/>
            </w:pPr>
            <w:r>
              <w:t xml:space="preserve">Common structure</w:t>
            </w:r>
          </w:p>
        </w:tc>
        <w:tc>
          <w:tcPr/>
          <w:p>
            <w:pPr>
              <w:pStyle w:val="Compact"/>
              <w:jc w:val="left"/>
            </w:pPr>
            <w:r>
              <w:t xml:space="preserve">Seven Clinical Reasoning Cycle headings as map branches</w:t>
            </w:r>
          </w:p>
        </w:tc>
        <w:tc>
          <w:tcPr/>
          <w:p>
            <w:pPr>
              <w:pStyle w:val="Compact"/>
              <w:jc w:val="left"/>
            </w:pPr>
            <w:r>
              <w:t xml:space="preserve">Same headings as pre-printed map branches</w:t>
            </w:r>
          </w:p>
        </w:tc>
        <w:tc>
          <w:tcPr/>
          <w:p>
            <w:pPr>
              <w:pStyle w:val="Compact"/>
              <w:jc w:val="left"/>
            </w:pPr>
            <w:r>
              <w:t xml:space="preserve">Same headings as linear worksheet prompts</w:t>
            </w:r>
          </w:p>
        </w:tc>
      </w:tr>
      <w:tr>
        <w:tc>
          <w:tcPr/>
          <w:p>
            <w:pPr>
              <w:pStyle w:val="Compact"/>
              <w:jc w:val="left"/>
            </w:pPr>
            <w:r>
              <w:t xml:space="preserve">Student activity</w:t>
            </w:r>
          </w:p>
        </w:tc>
        <w:tc>
          <w:tcPr/>
          <w:p>
            <w:pPr>
              <w:pStyle w:val="Compact"/>
              <w:jc w:val="left"/>
            </w:pPr>
            <w:r>
              <w:t xml:space="preserve">Examine, annotate, revise (with revision log), apply</w:t>
            </w:r>
          </w:p>
        </w:tc>
        <w:tc>
          <w:tcPr/>
          <w:p>
            <w:pPr>
              <w:pStyle w:val="Compact"/>
              <w:jc w:val="left"/>
            </w:pPr>
            <w:r>
              <w:t xml:space="preserve">Select, organise, construct, consolidate (with revision log), apply</w:t>
            </w:r>
          </w:p>
        </w:tc>
        <w:tc>
          <w:tcPr/>
          <w:p>
            <w:pPr>
              <w:pStyle w:val="Compact"/>
              <w:jc w:val="left"/>
            </w:pPr>
            <w:r>
              <w:t xml:space="preserve">Analyse, justify priorities, consolidate (with justification log), apply</w:t>
            </w:r>
          </w:p>
        </w:tc>
      </w:tr>
      <w:tr>
        <w:tc>
          <w:tcPr/>
          <w:p>
            <w:pPr>
              <w:pStyle w:val="Compact"/>
              <w:jc w:val="left"/>
            </w:pPr>
            <w:r>
              <w:t xml:space="preserve">AI in assigned activity</w:t>
            </w:r>
          </w:p>
        </w:tc>
        <w:tc>
          <w:tcPr/>
          <w:p>
            <w:pPr>
              <w:pStyle w:val="Compact"/>
              <w:jc w:val="left"/>
            </w:pPr>
            <w:r>
              <w:t xml:space="preserve">Educator use only; students received reviewed maps</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Teaching dose</w:t>
            </w:r>
          </w:p>
        </w:tc>
        <w:tc>
          <w:tcPr/>
          <w:p>
            <w:pPr>
              <w:pStyle w:val="Compact"/>
              <w:jc w:val="left"/>
            </w:pPr>
            <w:r>
              <w:t xml:space="preserve">4 × 180 min ([750] min including orientation)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Case practice</w:t>
            </w:r>
          </w:p>
        </w:tc>
        <w:tc>
          <w:tcPr/>
          <w:p>
            <w:pPr>
              <w:pStyle w:val="Compact"/>
              <w:jc w:val="left"/>
            </w:pPr>
            <w:r>
              <w:t xml:space="preserve">8 teaching cases; 4 simulated scenarios with PEARLS debriefing</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Feedback</w:t>
            </w:r>
          </w:p>
        </w:tc>
        <w:tc>
          <w:tcPr/>
          <w:p>
            <w:pPr>
              <w:pStyle w:val="Compact"/>
              <w:jc w:val="left"/>
            </w:pPr>
            <w:r>
              <w:t xml:space="preserve">Five Shared Facilitator Feedback Criteria</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Fidelity indicators</w:t>
            </w:r>
          </w:p>
        </w:tc>
        <w:tc>
          <w:tcPr/>
          <w:p>
            <w:pPr>
              <w:pStyle w:val="Compact"/>
              <w:jc w:val="left"/>
            </w:pPr>
            <w:r>
              <w:t xml:space="preserve">Attendance; pre-class completion; product submitted; feedback log; observer checklist ([25%] of sessions)</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Outcome assessment</w:t>
            </w:r>
          </w:p>
        </w:tc>
        <w:tc>
          <w:tcPr/>
          <w:p>
            <w:pPr>
              <w:pStyle w:val="Compact"/>
              <w:jc w:val="left"/>
            </w:pPr>
            <w:r>
              <w:t xml:space="preserve">Individual, previously unseen simulated cases, without AI or maps</w:t>
            </w:r>
          </w:p>
        </w:tc>
        <w:tc>
          <w:tcPr/>
          <w:p>
            <w:pPr>
              <w:pStyle w:val="Compact"/>
              <w:jc w:val="left"/>
            </w:pPr>
            <w:r>
              <w:t xml:space="preserve">Same</w:t>
            </w:r>
          </w:p>
        </w:tc>
        <w:tc>
          <w:tcPr/>
          <w:p>
            <w:pPr>
              <w:pStyle w:val="Compact"/>
              <w:jc w:val="left"/>
            </w:pPr>
            <w:r>
              <w:t xml:space="preserve">Same</w:t>
            </w:r>
          </w:p>
        </w:tc>
      </w:tr>
    </w:tbl>
    <w:bookmarkEnd w:id="27"/>
    <w:bookmarkStart w:id="28" w:name="outcomes-and-assessment-procedures"/>
    <w:p>
      <w:pPr>
        <w:pStyle w:val="Heading2"/>
      </w:pPr>
      <w:r>
        <w:t xml:space="preserve">2.9. Outcomes and assessment procedures</w:t>
      </w:r>
    </w:p>
    <w:p>
      <w:pPr>
        <w:pStyle w:val="FirstParagraph"/>
      </w:pPr>
      <w:r>
        <w:rPr>
          <w:bCs/>
          <w:b/>
        </w:rPr>
        <w:t xml:space="preserve">Primary outcome.</w:t>
      </w:r>
      <w:r>
        <w:t xml:space="preserve"> </w:t>
      </w:r>
      <w:r>
        <w:t xml:space="preserve">The primary outcome was each student’s clinical reasoning performance score. It was measured with the Pediatric Neurotrauma Clinical Reasoning Evaluation Rubric (PN-CRER), an observer-rated rubric developed for this study. The PN-CRER contains eight items, each corresponding to one phase of the Clinical Reasoning Cycle:</w:t>
      </w:r>
    </w:p>
    <w:p>
      <w:pPr>
        <w:numPr>
          <w:ilvl w:val="0"/>
          <w:numId w:val="1009"/>
        </w:numPr>
        <w:pStyle w:val="Compact"/>
      </w:pPr>
      <w:r>
        <w:t xml:space="preserve">considering the child’s situation</w:t>
      </w:r>
    </w:p>
    <w:p>
      <w:pPr>
        <w:numPr>
          <w:ilvl w:val="0"/>
          <w:numId w:val="1009"/>
        </w:numPr>
        <w:pStyle w:val="Compact"/>
      </w:pPr>
      <w:r>
        <w:t xml:space="preserve">collecting cues</w:t>
      </w:r>
    </w:p>
    <w:p>
      <w:pPr>
        <w:numPr>
          <w:ilvl w:val="0"/>
          <w:numId w:val="1009"/>
        </w:numPr>
        <w:pStyle w:val="Compact"/>
      </w:pPr>
      <w:r>
        <w:t xml:space="preserve">processing information</w:t>
      </w:r>
    </w:p>
    <w:p>
      <w:pPr>
        <w:numPr>
          <w:ilvl w:val="0"/>
          <w:numId w:val="1009"/>
        </w:numPr>
        <w:pStyle w:val="Compact"/>
      </w:pPr>
      <w:r>
        <w:t xml:space="preserve">identifying problems</w:t>
      </w:r>
    </w:p>
    <w:p>
      <w:pPr>
        <w:numPr>
          <w:ilvl w:val="0"/>
          <w:numId w:val="1009"/>
        </w:numPr>
        <w:pStyle w:val="Compact"/>
      </w:pPr>
      <w:r>
        <w:t xml:space="preserve">establishing goals</w:t>
      </w:r>
    </w:p>
    <w:p>
      <w:pPr>
        <w:numPr>
          <w:ilvl w:val="0"/>
          <w:numId w:val="1009"/>
        </w:numPr>
        <w:pStyle w:val="Compact"/>
      </w:pPr>
      <w:r>
        <w:t xml:space="preserve">taking action</w:t>
      </w:r>
    </w:p>
    <w:p>
      <w:pPr>
        <w:numPr>
          <w:ilvl w:val="0"/>
          <w:numId w:val="1009"/>
        </w:numPr>
        <w:pStyle w:val="Compact"/>
      </w:pPr>
      <w:r>
        <w:t xml:space="preserve">evaluating outcomes</w:t>
      </w:r>
    </w:p>
    <w:p>
      <w:pPr>
        <w:numPr>
          <w:ilvl w:val="0"/>
          <w:numId w:val="1009"/>
        </w:numPr>
        <w:pStyle w:val="Compact"/>
      </w:pPr>
      <w:r>
        <w:t xml:space="preserve">reflecting</w:t>
      </w:r>
    </w:p>
    <w:p>
      <w:pPr>
        <w:pStyle w:val="FirstParagraph"/>
      </w:pPr>
      <w:r>
        <w:t xml:space="preserve">Its structure follows the approach of the Clinical Reasoning Evaluation Simulation Tool (CREST), which combines observed responses to deterioration with students’ explanations (Liaw et al., 2018; Bayzat and Dinc, 2025). The items, anchors and scoring rules were written for pediatric head and brain injury and no CREST items were reproduced, so the PN-CRER is an adaptation, not a validated version of CREST. Its validity evidence comes from this study (Section 2.10). No validity is claimed from the original instrument.</w:t>
      </w:r>
    </w:p>
    <w:p>
      <w:pPr>
        <w:pStyle w:val="BodyText"/>
      </w:pPr>
      <w:r>
        <w:t xml:space="preserve">Each item is scored from 0 to 3 against behaviourally anchored descriptors and a case-specific scoring key that lists the critical elements for that case:</w:t>
      </w:r>
    </w:p>
    <w:p>
      <w:pPr>
        <w:numPr>
          <w:ilvl w:val="0"/>
          <w:numId w:val="1010"/>
        </w:numPr>
        <w:pStyle w:val="Compact"/>
      </w:pPr>
      <w:r>
        <w:rPr>
          <w:bCs/>
          <w:b/>
        </w:rPr>
        <w:t xml:space="preserve">0:</w:t>
      </w:r>
      <w:r>
        <w:t xml:space="preserve"> </w:t>
      </w:r>
      <w:r>
        <w:t xml:space="preserve">not demonstrated, or unsafe.</w:t>
      </w:r>
    </w:p>
    <w:p>
      <w:pPr>
        <w:numPr>
          <w:ilvl w:val="0"/>
          <w:numId w:val="1010"/>
        </w:numPr>
        <w:pStyle w:val="Compact"/>
      </w:pPr>
      <w:r>
        <w:rPr>
          <w:bCs/>
          <w:b/>
        </w:rPr>
        <w:t xml:space="preserve">1:</w:t>
      </w:r>
      <w:r>
        <w:t xml:space="preserve"> </w:t>
      </w:r>
      <w:r>
        <w:t xml:space="preserve">fewer than half of the critical elements, or a major misinterpretation.</w:t>
      </w:r>
    </w:p>
    <w:p>
      <w:pPr>
        <w:numPr>
          <w:ilvl w:val="0"/>
          <w:numId w:val="1010"/>
        </w:numPr>
        <w:pStyle w:val="Compact"/>
      </w:pPr>
      <w:r>
        <w:rPr>
          <w:bCs/>
          <w:b/>
        </w:rPr>
        <w:t xml:space="preserve">2:</w:t>
      </w:r>
      <w:r>
        <w:t xml:space="preserve"> </w:t>
      </w:r>
      <w:r>
        <w:t xml:space="preserve">at least half of the critical elements, with minor omissions and no unsafe element.</w:t>
      </w:r>
    </w:p>
    <w:p>
      <w:pPr>
        <w:numPr>
          <w:ilvl w:val="0"/>
          <w:numId w:val="1010"/>
        </w:numPr>
        <w:pStyle w:val="Compact"/>
      </w:pPr>
      <w:r>
        <w:rPr>
          <w:bCs/>
          <w:b/>
        </w:rPr>
        <w:t xml:space="preserve">3:</w:t>
      </w:r>
      <w:r>
        <w:t xml:space="preserve"> </w:t>
      </w:r>
      <w:r>
        <w:t xml:space="preserve">all critical elements, accurate, justified and timely.</w:t>
      </w:r>
    </w:p>
    <w:p>
      <w:pPr>
        <w:pStyle w:val="FirstParagraph"/>
      </w:pPr>
      <w:r>
        <w:t xml:space="preserve">The item scores sum to a case score of 0 to 24, with higher scores indicating better reasoning (Supplementary Table S3). Raters coded each element as either</w:t>
      </w:r>
      <w:r>
        <w:t xml:space="preserve"> </w:t>
      </w:r>
      <w:r>
        <w:rPr>
          <w:iCs/>
          <w:i/>
        </w:rPr>
        <w:t xml:space="preserve">performed</w:t>
      </w:r>
      <w:r>
        <w:t xml:space="preserve"> </w:t>
      </w:r>
      <w:r>
        <w:t xml:space="preserve">(observed during the scenario) or</w:t>
      </w:r>
      <w:r>
        <w:t xml:space="preserve"> </w:t>
      </w:r>
      <w:r>
        <w:rPr>
          <w:iCs/>
          <w:i/>
        </w:rPr>
        <w:t xml:space="preserve">stated</w:t>
      </w:r>
      <w:r>
        <w:t xml:space="preserve"> </w:t>
      </w:r>
      <w:r>
        <w:t xml:space="preserve">(described only in the explanation). Where an action could have been performed in the scenario but was only stated, item 6 was capped at 2. No separate global rating was added to the item total.</w:t>
      </w:r>
    </w:p>
    <w:p>
      <w:pPr>
        <w:pStyle w:val="BodyText"/>
      </w:pPr>
      <w:r>
        <w:rPr>
          <w:bCs/>
          <w:b/>
        </w:rPr>
        <w:t xml:space="preserve">Assessment cases and parallel forms.</w:t>
      </w:r>
      <w:r>
        <w:t xml:space="preserve"> </w:t>
      </w:r>
      <w:r>
        <w:t xml:space="preserve">Two parallel forms (A and B) were developed, each containing two previously unseen cases. The forms were matched on developmental stage (one young-child case and one school-age case per form), injury severity, number and type of cues, decision points, critical actions, equipment and time (Supplementary Table S2). None of these cases was used in teaching. Within each section, half the students were assigned to Form A at baseline and Form B after instruction, and the other half to the reverse order. Form order was entered as a covariate.</w:t>
      </w:r>
    </w:p>
    <w:p>
      <w:pPr>
        <w:pStyle w:val="BodyText"/>
      </w:pPr>
      <w:r>
        <w:rPr>
          <w:bCs/>
          <w:b/>
        </w:rPr>
        <w:t xml:space="preserve">Assessment procedure.</w:t>
      </w:r>
      <w:r>
        <w:t xml:space="preserve"> </w:t>
      </w:r>
      <w:r>
        <w:t xml:space="preserve">Students were assessed one at a time without access to AI, maps, notes or other materials, at baseline and [5–7] days after the final teaching session. The procedure for each case was:</w:t>
      </w:r>
    </w:p>
    <w:p>
      <w:pPr>
        <w:numPr>
          <w:ilvl w:val="0"/>
          <w:numId w:val="1011"/>
        </w:numPr>
        <w:pStyle w:val="Compact"/>
      </w:pPr>
      <w:r>
        <w:t xml:space="preserve">A standard 3-minute orientation to the room and equipment, with the same written instructions for every student.</w:t>
      </w:r>
    </w:p>
    <w:p>
      <w:pPr>
        <w:numPr>
          <w:ilvl w:val="0"/>
          <w:numId w:val="1011"/>
        </w:numPr>
        <w:pStyle w:val="Compact"/>
      </w:pPr>
      <w:r>
        <w:t xml:space="preserve">A 10-minute scenario on [the pediatric manikin], with a trained standardised parent and a simulated patient monitor. Cues were delivered at fixed times (0, 4 and 8 minutes), so every student met the same deterioration regardless of what they did. Scripted local responses to student actions were allowed; for example, oxygen saturation rose when oxygen was applied. A simulated physician answered escalation calls with a scripted reply.</w:t>
      </w:r>
    </w:p>
    <w:p>
      <w:pPr>
        <w:numPr>
          <w:ilvl w:val="0"/>
          <w:numId w:val="1011"/>
        </w:numPr>
        <w:pStyle w:val="Compact"/>
      </w:pPr>
      <w:r>
        <w:t xml:space="preserve">A 5-minute structured reasoning interview.</w:t>
      </w:r>
    </w:p>
    <w:p>
      <w:pPr>
        <w:pStyle w:val="FirstParagraph"/>
      </w:pPr>
      <w:r>
        <w:t xml:space="preserve">The interview was conducted by an assessor who had not taught the student. The assessor asked the same five neutral questions in a fixed order, with only the neutral prompt</w:t>
      </w:r>
      <w:r>
        <w:t xml:space="preserve"> </w:t>
      </w:r>
      <w:r>
        <w:t xml:space="preserve">“</w:t>
      </w:r>
      <w:r>
        <w:t xml:space="preserve">Anything else?</w:t>
      </w:r>
      <w:r>
        <w:t xml:space="preserve">”</w:t>
      </w:r>
      <w:r>
        <w:t xml:space="preserve"> </w:t>
      </w:r>
      <w:r>
        <w:t xml:space="preserve">(Supplementary Box S2). Continuous think-aloud was not used. All scenarios and interviews were video-recorded.</w:t>
      </w:r>
    </w:p>
    <w:p>
      <w:pPr>
        <w:pStyle w:val="BodyText"/>
      </w:pPr>
      <w:r>
        <w:rPr>
          <w:bCs/>
          <w:b/>
        </w:rPr>
        <w:t xml:space="preserve">Secondary outcomes.</w:t>
      </w:r>
      <w:r>
        <w:t xml:space="preserve"> </w:t>
      </w:r>
      <w:r>
        <w:rPr>
          <w:iCs/>
          <w:i/>
        </w:rPr>
        <w:t xml:space="preserve">Knowledge</w:t>
      </w:r>
      <w:r>
        <w:t xml:space="preserve"> </w:t>
      </w:r>
      <w:r>
        <w:t xml:space="preserve">was measured with the Pediatric Neurotrauma Nursing Knowledge Test (PNNKT), a 40-item single-best-answer test developed from the curriculum blueprint and written to established item-writing guidelines (Haladyna et al., 2002) (Supplementary Table S4). About 70% of the items are clinical vignettes at the application or analysis level (Anderson and Krathwohl, 2001). Each item scores 1 for correct and 0 for incorrect or unanswered, giving a range of 0 to 40. The same items were used on both occasions, with item and option order rearranged. Neither answers nor scores were released before the study ended.</w:t>
      </w:r>
    </w:p>
    <w:p>
      <w:pPr>
        <w:pStyle w:val="BodyText"/>
      </w:pPr>
      <w:r>
        <w:rPr>
          <w:iCs/>
          <w:i/>
        </w:rPr>
        <w:t xml:space="preserve">Procedural skills</w:t>
      </w:r>
      <w:r>
        <w:t xml:space="preserve"> </w:t>
      </w:r>
      <w:r>
        <w:t xml:space="preserve">were measured with the Pediatric Neurotrauma Procedural Skills Checklist (PNPSC). This 15-item observation checklist was completed at a separate 10-minute station (Supplementary Table S5). Tasks were given as explicit written instructions, such as</w:t>
      </w:r>
      <w:r>
        <w:t xml:space="preserve"> </w:t>
      </w:r>
      <w:r>
        <w:t xml:space="preserve">“</w:t>
      </w:r>
      <w:r>
        <w:t xml:space="preserve">perform and document a complete neurological observation</w:t>
      </w:r>
      <w:r>
        <w:t xml:space="preserve">”</w:t>
      </w:r>
      <w:r>
        <w:t xml:space="preserve">, so the station measured accuracy of execution rather than clinical decision-making. Each item scores 0 (not performed), 1 (performed incompletely or incorrectly) or 2 (performed correctly), giving a range of 0 to 30.</w:t>
      </w:r>
    </w:p>
    <w:p>
      <w:pPr>
        <w:pStyle w:val="BodyText"/>
      </w:pPr>
      <w:r>
        <w:t xml:space="preserve">The three outcome scores were analysed separately and never combined into an overall total.</w:t>
      </w:r>
    </w:p>
    <w:p>
      <w:pPr>
        <w:pStyle w:val="BodyText"/>
      </w:pPr>
      <w:r>
        <w:rPr>
          <w:bCs/>
          <w:b/>
        </w:rPr>
        <w:t xml:space="preserve">Order of assessment.</w:t>
      </w:r>
      <w:r>
        <w:t xml:space="preserve"> </w:t>
      </w:r>
      <w:r>
        <w:t xml:space="preserve">On each occasion the order was the same: the clinical reasoning simulation first, then the skills station, then the knowledge test. This prevented the test items from cueing answers in the case. No delayed retention assessment was conducted. [If a delayed assessment was actually collected, describe it here.]</w:t>
      </w:r>
    </w:p>
    <w:p>
      <w:pPr>
        <w:pStyle w:val="BodyText"/>
      </w:pPr>
      <w:r>
        <w:rPr>
          <w:bCs/>
          <w:b/>
        </w:rPr>
        <w:t xml:space="preserve">Table 2.</w:t>
      </w:r>
      <w:r>
        <w:t xml:space="preserve"> </w:t>
      </w:r>
      <w:r>
        <w:t xml:space="preserve">Outcome hierarchy and assessment schedule.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Instrument and method</w:t>
            </w:r>
          </w:p>
        </w:tc>
        <w:tc>
          <w:tcPr/>
          <w:p>
            <w:pPr>
              <w:pStyle w:val="Compact"/>
              <w:jc w:val="left"/>
            </w:pPr>
            <w:r>
              <w:t xml:space="preserve">Score range and direction</w:t>
            </w:r>
          </w:p>
        </w:tc>
        <w:tc>
          <w:tcPr/>
          <w:p>
            <w:pPr>
              <w:pStyle w:val="Compact"/>
              <w:jc w:val="left"/>
            </w:pPr>
            <w:r>
              <w:t xml:space="preserve">Timing</w:t>
            </w:r>
          </w:p>
        </w:tc>
        <w:tc>
          <w:tcPr/>
          <w:p>
            <w:pPr>
              <w:pStyle w:val="Compact"/>
              <w:jc w:val="left"/>
            </w:pPr>
            <w:r>
              <w:t xml:space="preserve">Raters and masking</w:t>
            </w:r>
          </w:p>
        </w:tc>
      </w:tr>
      <w:tr>
        <w:tc>
          <w:tcPr/>
          <w:p>
            <w:pPr>
              <w:pStyle w:val="Compact"/>
              <w:jc w:val="left"/>
            </w:pPr>
            <w:r>
              <w:t xml:space="preserve">Clinical reasoning (primary)</w:t>
            </w:r>
          </w:p>
        </w:tc>
        <w:tc>
          <w:tcPr/>
          <w:p>
            <w:pPr>
              <w:pStyle w:val="Compact"/>
              <w:jc w:val="left"/>
            </w:pPr>
            <w:r>
              <w:t xml:space="preserve">PN-CRER: 8 Clinical Reasoning Cycle items scored 0–3 against case-specific keys; two parallel simulated cases per occasion (10-min scenario + 5-min structured reasoning interview), video-recorded</w:t>
            </w:r>
          </w:p>
        </w:tc>
        <w:tc>
          <w:tcPr/>
          <w:p>
            <w:pPr>
              <w:pStyle w:val="Compact"/>
              <w:jc w:val="left"/>
            </w:pPr>
            <w:r>
              <w:t xml:space="preserve">0–24 per case; occasion score = mean of the two cases, averaged over two raters; higher = better</w:t>
            </w:r>
          </w:p>
        </w:tc>
        <w:tc>
          <w:tcPr/>
          <w:p>
            <w:pPr>
              <w:pStyle w:val="Compact"/>
              <w:jc w:val="left"/>
            </w:pPr>
            <w:r>
              <w:t xml:space="preserve">Baseline (before orientation) and [5–7] days after session 4</w:t>
            </w:r>
          </w:p>
        </w:tc>
        <w:tc>
          <w:tcPr/>
          <w:p>
            <w:pPr>
              <w:pStyle w:val="Compact"/>
              <w:jc w:val="left"/>
            </w:pPr>
            <w:r>
              <w:t xml:space="preserve">Two independent raters masked to arm and occasion; coded recordings rated in random order</w:t>
            </w:r>
          </w:p>
        </w:tc>
      </w:tr>
      <w:tr>
        <w:tc>
          <w:tcPr/>
          <w:p>
            <w:pPr>
              <w:pStyle w:val="Compact"/>
              <w:jc w:val="left"/>
            </w:pPr>
            <w:r>
              <w:t xml:space="preserve">Knowledge (secondary)</w:t>
            </w:r>
          </w:p>
        </w:tc>
        <w:tc>
          <w:tcPr/>
          <w:p>
            <w:pPr>
              <w:pStyle w:val="Compact"/>
              <w:jc w:val="left"/>
            </w:pPr>
            <w:r>
              <w:t xml:space="preserve">PNNKT: 40 single-best-answer items mapped to the blueprint; predefined answer key</w:t>
            </w:r>
          </w:p>
        </w:tc>
        <w:tc>
          <w:tcPr/>
          <w:p>
            <w:pPr>
              <w:pStyle w:val="Compact"/>
              <w:jc w:val="left"/>
            </w:pPr>
            <w:r>
              <w:t xml:space="preserve">0–40; higher = better</w:t>
            </w:r>
          </w:p>
        </w:tc>
        <w:tc>
          <w:tcPr/>
          <w:p>
            <w:pPr>
              <w:pStyle w:val="Compact"/>
              <w:jc w:val="left"/>
            </w:pPr>
            <w:r>
              <w:t xml:space="preserve">Same occasions, after the skills station</w:t>
            </w:r>
          </w:p>
        </w:tc>
        <w:tc>
          <w:tcPr/>
          <w:p>
            <w:pPr>
              <w:pStyle w:val="Compact"/>
              <w:jc w:val="left"/>
            </w:pPr>
            <w:r>
              <w:t xml:space="preserve">Scored with the answer key by staff masked to arm</w:t>
            </w:r>
          </w:p>
        </w:tc>
      </w:tr>
      <w:tr>
        <w:tc>
          <w:tcPr/>
          <w:p>
            <w:pPr>
              <w:pStyle w:val="Compact"/>
              <w:jc w:val="left"/>
            </w:pPr>
            <w:r>
              <w:t xml:space="preserve">Procedural skills (secondary)</w:t>
            </w:r>
          </w:p>
        </w:tc>
        <w:tc>
          <w:tcPr/>
          <w:p>
            <w:pPr>
              <w:pStyle w:val="Compact"/>
              <w:jc w:val="left"/>
            </w:pPr>
            <w:r>
              <w:t xml:space="preserve">PNPSC: 15-item observation checklist at a separate instructed-task station, video-recorded</w:t>
            </w:r>
          </w:p>
        </w:tc>
        <w:tc>
          <w:tcPr/>
          <w:p>
            <w:pPr>
              <w:pStyle w:val="Compact"/>
              <w:jc w:val="left"/>
            </w:pPr>
            <w:r>
              <w:t xml:space="preserve">0–30; higher = better</w:t>
            </w:r>
          </w:p>
        </w:tc>
        <w:tc>
          <w:tcPr/>
          <w:p>
            <w:pPr>
              <w:pStyle w:val="Compact"/>
              <w:jc w:val="left"/>
            </w:pPr>
            <w:r>
              <w:t xml:space="preserve">Same occasions, after the reasoning simulation</w:t>
            </w:r>
          </w:p>
        </w:tc>
        <w:tc>
          <w:tcPr/>
          <w:p>
            <w:pPr>
              <w:pStyle w:val="Compact"/>
              <w:jc w:val="left"/>
            </w:pPr>
            <w:r>
              <w:t xml:space="preserve">One rater masked to arm and occasion; random [25%] double-rated for agreement</w:t>
            </w:r>
          </w:p>
        </w:tc>
      </w:tr>
    </w:tbl>
    <w:bookmarkEnd w:id="28"/>
    <w:bookmarkStart w:id="29" w:name="X0eb1683448a8e0902d9e16e4c33b5b8a2d565f8"/>
    <w:p>
      <w:pPr>
        <w:pStyle w:val="Heading2"/>
      </w:pPr>
      <w:r>
        <w:t xml:space="preserve">2.10. Instrument suitability, pilot testing and reliability</w:t>
      </w:r>
    </w:p>
    <w:p>
      <w:pPr>
        <w:pStyle w:val="FirstParagraph"/>
      </w:pPr>
      <w:r>
        <w:rPr>
          <w:bCs/>
          <w:b/>
        </w:rPr>
        <w:t xml:space="preserve">Content validity.</w:t>
      </w:r>
      <w:r>
        <w:t xml:space="preserve"> </w:t>
      </w:r>
      <w:r>
        <w:t xml:space="preserve">A panel of [seven] experts reviewed the PN-CRER (items, anchors and case keys), the four assessment cases, the PNNKT and the PNPSC: [three pediatric nursing faculty, two pediatric critical care nurse specialists, one pediatric neurosurgeon or intensivist, and one nursing education and measurement specialist]. Experts rated each item for relevance on a 4-point scale and commented on clarity, completeness, suitability for the learner level and coverage of the reasoning domains. They also rated whether each pair of parallel cases was equivalent on the matching criteria.</w:t>
      </w:r>
    </w:p>
    <w:p>
      <w:pPr>
        <w:pStyle w:val="BodyText"/>
      </w:pPr>
      <w:r>
        <w:t xml:space="preserve">The item-level content validity index (I-CVI) and the scale-level index using the averaging method (S-CVI/Ave) were calculated. The prespecified criteria were I-CVI ≥ 0.78 and S-CVI/Ave ≥ 0.90 (Lynn, 1986; Polit et al., 2007). Items below the criterion were revised and re-rated, or deleted. [Report the actual values and revisions.]</w:t>
      </w:r>
    </w:p>
    <w:p>
      <w:pPr>
        <w:pStyle w:val="BodyText"/>
      </w:pPr>
      <w:r>
        <w:rPr>
          <w:bCs/>
          <w:b/>
        </w:rPr>
        <w:t xml:space="preserve">Language.</w:t>
      </w:r>
      <w:r>
        <w:t xml:space="preserve"> </w:t>
      </w:r>
      <w:r>
        <w:t xml:space="preserve">All materials were presented in English, the language of instruction. Students could give their reasoning explanations in English or Arabic, and all raters were bilingual. Reasoning was scored on content, not on fluency, and the scoring manual told raters to disregard grammar and vocabulary. [If Arabic versions were produced: translation, independent back-translation, reconciliation by an expert committee and cognitive testing with ten students followed established guidance (Beaton et al., 2000).]</w:t>
      </w:r>
    </w:p>
    <w:p>
      <w:pPr>
        <w:pStyle w:val="BodyText"/>
      </w:pPr>
      <w:r>
        <w:rPr>
          <w:bCs/>
          <w:b/>
        </w:rPr>
        <w:t xml:space="preserve">Pilot study.</w:t>
      </w:r>
      <w:r>
        <w:t xml:space="preserve"> </w:t>
      </w:r>
      <w:r>
        <w:t xml:space="preserve">The pilot was conducted [two weeks] before baseline with [20] students who were not eligible for the main study ([e.g., fourth-year students who had completed the pediatric course]). It checked scenario timing, the visibility and audibility of cues, the clarity of the anchors and case keys, recording quality, assessment burden and floor or ceiling effects. It also provided item analysis for the PNNKT. Items were revised if their difficulty fell outside 0.30–0.80 or their corrected point-biserial discrimination was below 0.20. [Report the problems identified and the changes made.] Pilot participants did not contribute to the main sample, and no main-study student had been exposed to the assessment cases. Pilot recordings were used only to calibrate raters.</w:t>
      </w:r>
    </w:p>
    <w:p>
      <w:pPr>
        <w:pStyle w:val="BodyText"/>
      </w:pPr>
      <w:r>
        <w:rPr>
          <w:bCs/>
          <w:b/>
        </w:rPr>
        <w:t xml:space="preserve">Rater training and inter-rater reliability.</w:t>
      </w:r>
      <w:r>
        <w:t xml:space="preserve"> </w:t>
      </w:r>
      <w:r>
        <w:t xml:space="preserve">Two raters scored all PN-CRER recordings independently: [pediatric nursing faculty holding a doctorate who did not teach or allocate study students]. Training took [six] hours and covered the rubric, the case keys, the performed-versus-stated coding rule and [ten] pilot calibration recordings. Each rater had to reach an absolute-agreement intraclass correlation coefficient (ICC) of at least 0.75 on the calibration set before rating any study recordings (Koo and Li, 2016). Raters scored independently without discussion, and all individual ratings were retained. The primary score was the mean of the two raters, fixed in advance without consensus adjustment.</w:t>
      </w:r>
    </w:p>
    <w:p>
      <w:pPr>
        <w:pStyle w:val="BodyText"/>
      </w:pPr>
      <w:r>
        <w:t xml:space="preserve">Inter-rater reliability for the PN-CRER total is reported as a two-way random-effects, absolute-agreement ICC for the mean of two raters, ICC(2,2), because the primary score is that mean. The single-rater ICC(2,1) and 95% confidence intervals are also reported (Koo and Li, 2016). For the PNPSC, ICC(2,1) is reported from the double-rated [25%] sample, because single ratings were used for the remaining recordings.</w:t>
      </w:r>
    </w:p>
    <w:p>
      <w:pPr>
        <w:pStyle w:val="BodyText"/>
      </w:pPr>
      <w:r>
        <w:rPr>
          <w:bCs/>
          <w:b/>
        </w:rPr>
        <w:t xml:space="preserve">Internal consistency.</w:t>
      </w:r>
      <w:r>
        <w:t xml:space="preserve"> </w:t>
      </w:r>
      <w:r>
        <w:t xml:space="preserve">Reliability is reported separately for each instrument, with a method suited to each. For the PNNKT, Kuder–Richardson 20 was calculated at each occasion, along with item difficulty and discrimination (Kuder and Richardson, 1937); 0.70 or higher was considered adequate for group comparisons (Downing, 2004). For the PN-CRER, Cronbach’s α across the eight items is reported as supplementary information only. It does not replace inter-rater reliability. No single pooled reliability coefficient was calculated across instruments, and no published coefficients were presented as local results.</w:t>
      </w:r>
    </w:p>
    <w:p>
      <w:pPr>
        <w:pStyle w:val="BodyText"/>
      </w:pPr>
      <w:r>
        <w:t xml:space="preserve">Scores were analysed as continuous variables. No poor/moderate/good performance categories or competence cut-offs were applied, because no external standard-setting procedure had been carried out.</w:t>
      </w:r>
    </w:p>
    <w:bookmarkEnd w:id="29"/>
    <w:bookmarkStart w:id="30" w:name="Xd08afee2d277dfd007e388c2e6a40cb68904c3a"/>
    <w:p>
      <w:pPr>
        <w:pStyle w:val="Heading2"/>
      </w:pPr>
      <w:r>
        <w:t xml:space="preserve">2.11. Data-collection sequence, fidelity and data management</w:t>
      </w:r>
    </w:p>
    <w:p>
      <w:pPr>
        <w:pStyle w:val="FirstParagraph"/>
      </w:pPr>
      <w:r>
        <w:t xml:space="preserve">The study sequence was:</w:t>
      </w:r>
    </w:p>
    <w:p>
      <w:pPr>
        <w:numPr>
          <w:ilvl w:val="0"/>
          <w:numId w:val="1012"/>
        </w:numPr>
        <w:pStyle w:val="Compact"/>
      </w:pPr>
      <w:r>
        <w:t xml:space="preserve">Information, consent and baseline characteristics questionnaire.</w:t>
      </w:r>
    </w:p>
    <w:p>
      <w:pPr>
        <w:numPr>
          <w:ilvl w:val="0"/>
          <w:numId w:val="1012"/>
        </w:numPr>
        <w:pStyle w:val="Compact"/>
      </w:pPr>
      <w:r>
        <w:t xml:space="preserve">Baseline assessment over [n] days at [four] parallel stations: reasoning simulation, then skills station, then knowledge test.</w:t>
      </w:r>
    </w:p>
    <w:p>
      <w:pPr>
        <w:numPr>
          <w:ilvl w:val="0"/>
          <w:numId w:val="1012"/>
        </w:numPr>
        <w:pStyle w:val="Compact"/>
      </w:pPr>
      <w:r>
        <w:t xml:space="preserve">Arm-specific orientation in week 0.</w:t>
      </w:r>
    </w:p>
    <w:p>
      <w:pPr>
        <w:numPr>
          <w:ilvl w:val="0"/>
          <w:numId w:val="1012"/>
        </w:numPr>
        <w:pStyle w:val="Compact"/>
      </w:pPr>
      <w:r>
        <w:t xml:space="preserve">Four weekly teaching sessions.</w:t>
      </w:r>
    </w:p>
    <w:p>
      <w:pPr>
        <w:numPr>
          <w:ilvl w:val="0"/>
          <w:numId w:val="1012"/>
        </w:numPr>
        <w:pStyle w:val="Compact"/>
      </w:pPr>
      <w:r>
        <w:t xml:space="preserve">Post-instruction assessment [5–7] days after session 4, in the same order and with the alternate case form, plus the contamination questionnaire.</w:t>
      </w:r>
    </w:p>
    <w:p>
      <w:pPr>
        <w:numPr>
          <w:ilvl w:val="0"/>
          <w:numId w:val="1012"/>
        </w:numPr>
        <w:pStyle w:val="Compact"/>
      </w:pPr>
      <w:r>
        <w:t xml:space="preserve">Masked rating of all recordings after data collection ended.</w:t>
      </w:r>
    </w:p>
    <w:p>
      <w:pPr>
        <w:pStyle w:val="FirstParagraph"/>
      </w:pPr>
      <w:r>
        <w:t xml:space="preserve">Roles were kept separate:</w:t>
      </w:r>
    </w:p>
    <w:p>
      <w:pPr>
        <w:numPr>
          <w:ilvl w:val="0"/>
          <w:numId w:val="1013"/>
        </w:numPr>
        <w:pStyle w:val="Compact"/>
      </w:pPr>
      <w:r>
        <w:t xml:space="preserve">[Names or roles] delivered the teaching.</w:t>
      </w:r>
    </w:p>
    <w:p>
      <w:pPr>
        <w:numPr>
          <w:ilvl w:val="0"/>
          <w:numId w:val="1013"/>
        </w:numPr>
        <w:pStyle w:val="Compact"/>
      </w:pPr>
      <w:r>
        <w:t xml:space="preserve">[Trained laboratory staff] operated the simulators and played the standardised parent and simulated physician from scripts.</w:t>
      </w:r>
    </w:p>
    <w:p>
      <w:pPr>
        <w:numPr>
          <w:ilvl w:val="0"/>
          <w:numId w:val="1013"/>
        </w:numPr>
        <w:pStyle w:val="Compact"/>
      </w:pPr>
      <w:r>
        <w:t xml:space="preserve">[Assessors] administered the reasoning interviews and tests.</w:t>
      </w:r>
    </w:p>
    <w:p>
      <w:pPr>
        <w:numPr>
          <w:ilvl w:val="0"/>
          <w:numId w:val="1013"/>
        </w:numPr>
        <w:pStyle w:val="Compact"/>
      </w:pPr>
      <w:r>
        <w:t xml:space="preserve">[Two raters] scored the recordings.</w:t>
      </w:r>
    </w:p>
    <w:p>
      <w:pPr>
        <w:numPr>
          <w:ilvl w:val="0"/>
          <w:numId w:val="1013"/>
        </w:numPr>
        <w:pStyle w:val="Compact"/>
      </w:pPr>
      <w:r>
        <w:t xml:space="preserve">[A data manager] entered and checked the data.</w:t>
      </w:r>
    </w:p>
    <w:p>
      <w:pPr>
        <w:numPr>
          <w:ilvl w:val="0"/>
          <w:numId w:val="1013"/>
        </w:numPr>
        <w:pStyle w:val="Compact"/>
      </w:pPr>
      <w:r>
        <w:t xml:space="preserve">[A statistician] analysed the data.</w:t>
      </w:r>
    </w:p>
    <w:p>
      <w:pPr>
        <w:pStyle w:val="FirstParagraph"/>
      </w:pPr>
      <w:r>
        <w:t xml:space="preserve">No person who taught a student rated or interviewed that student. Simulation operators rehearsed every case script until timing deviated by no more than 30 seconds.</w:t>
      </w:r>
    </w:p>
    <w:p>
      <w:pPr>
        <w:pStyle w:val="BodyText"/>
      </w:pPr>
      <w:r>
        <w:t xml:space="preserve">Fidelity data were recorded prospectively (Section 2.8). Planned monitoring is described here; the fidelity actually achieved is reported in the Results. The following were documented without assuming that none occurred:</w:t>
      </w:r>
    </w:p>
    <w:p>
      <w:pPr>
        <w:numPr>
          <w:ilvl w:val="0"/>
          <w:numId w:val="1014"/>
        </w:numPr>
        <w:pStyle w:val="Compact"/>
      </w:pPr>
      <w:r>
        <w:t xml:space="preserve">attrition and reasons for missing assessments</w:t>
      </w:r>
    </w:p>
    <w:p>
      <w:pPr>
        <w:numPr>
          <w:ilvl w:val="0"/>
          <w:numId w:val="1014"/>
        </w:numPr>
        <w:pStyle w:val="Compact"/>
      </w:pPr>
      <w:r>
        <w:t xml:space="preserve">contamination</w:t>
      </w:r>
    </w:p>
    <w:p>
      <w:pPr>
        <w:numPr>
          <w:ilvl w:val="0"/>
          <w:numId w:val="1014"/>
        </w:numPr>
        <w:pStyle w:val="Compact"/>
      </w:pPr>
      <w:r>
        <w:t xml:space="preserve">deviations from the protocol</w:t>
      </w:r>
    </w:p>
    <w:p>
      <w:pPr>
        <w:numPr>
          <w:ilvl w:val="0"/>
          <w:numId w:val="1014"/>
        </w:numPr>
        <w:pStyle w:val="Compact"/>
      </w:pPr>
      <w:r>
        <w:t xml:space="preserve">unintended effects, such as additional workload or misunderstanding of map content</w:t>
      </w:r>
    </w:p>
    <w:p>
      <w:pPr>
        <w:pStyle w:val="FirstParagraph"/>
      </w:pPr>
      <w:r>
        <w:t xml:space="preserve">Each participant received a coded identifier. The reidentification key was held by [the data manager] in a separate, access-controlled, password-protected file. Recordings were stored encrypted on [faculty secure storage] and were accessible only to the raters and the [principal investigator]. Data were entered into [a password-protected database] and double-checked against source forms for a random [10%] of records, with range and consistency checks run on all records. Missing values were given reason-specific codes such as absent, withdrawn or recording failure. Corrections were logged. Data and recordings will be kept for [n] years in line with [faculty policy] and then destroyed.</w:t>
      </w:r>
    </w:p>
    <w:bookmarkEnd w:id="30"/>
    <w:bookmarkStart w:id="31" w:name="statistical-analysis"/>
    <w:p>
      <w:pPr>
        <w:pStyle w:val="Heading2"/>
      </w:pPr>
      <w:r>
        <w:t xml:space="preserve">2.12. Statistical analysis</w:t>
      </w:r>
    </w:p>
    <w:p>
      <w:pPr>
        <w:pStyle w:val="FirstParagraph"/>
      </w:pPr>
      <w:r>
        <w:rPr>
          <w:bCs/>
          <w:b/>
        </w:rPr>
        <w:t xml:space="preserve">Estimand.</w:t>
      </w:r>
      <w:r>
        <w:t xml:space="preserve"> </w:t>
      </w:r>
      <w:r>
        <w:t xml:space="preserve">The primary estimand was the difference in mean post-instruction PN-CRER score between the AI-map and student-map arms, adjusted for baseline PN-CRER score and prespecified covariates. It was estimated for all consenting allocated students, analysed in their allocated arm regardless of attendance. Within-arm changes from baseline are reported descriptively only. Separate paired tests within each arm cannot establish a difference between groups.</w:t>
      </w:r>
    </w:p>
    <w:p>
      <w:pPr>
        <w:pStyle w:val="BodyText"/>
      </w:pPr>
      <w:r>
        <w:rPr>
          <w:bCs/>
          <w:b/>
        </w:rPr>
        <w:t xml:space="preserve">Model.</w:t>
      </w:r>
      <w:r>
        <w:t xml:space="preserve"> </w:t>
      </w:r>
      <w:r>
        <w:t xml:space="preserve">A baseline-adjusted linear mixed model (analysis of covariance) was fitted to the post-instruction score (Vickers and Altman, 2001). The fixed effects were arm, baseline score, assessment form order and the prespecified covariates: previous-year grade point average and number of previous simulation sessions. These covariates were chosen in advance on educational grounds, not on the basis of baseline p values. A random intercept for laboratory section accounted for clustering arising from allocation. Teaching small groups nested within sections were added as a further random intercept where that variance could be estimated. Because the number of sections was small, inference used Kenward–Roger degrees of freedom (Kenward and Roger, 1997). As a sensitivity analysis, the same contrasts were estimated with cluster-robust CR2 standard errors (Pustejovsky and Tipton, 2018).</w:t>
      </w:r>
    </w:p>
    <w:p>
      <w:pPr>
        <w:pStyle w:val="BodyText"/>
      </w:pPr>
      <w:r>
        <w:t xml:space="preserve">A baseline-adjusted gain-score model gives the same group contrast. Unadjusted change scores are presented descriptively and were not used for inference (Tennant et al., 2022). Post-intervention variables such as attendance and engagement were not included in the primary model.</w:t>
      </w:r>
    </w:p>
    <w:p>
      <w:pPr>
        <w:pStyle w:val="BodyText"/>
      </w:pPr>
      <w:r>
        <w:rPr>
          <w:bCs/>
          <w:b/>
        </w:rPr>
        <w:t xml:space="preserve">Model checking.</w:t>
      </w:r>
      <w:r>
        <w:t xml:space="preserve"> </w:t>
      </w:r>
      <w:r>
        <w:t xml:space="preserve">Score distributions, floor and ceiling effects, residual normality and variance across arms, the linearity of the baseline–outcome relationship and the arm × baseline interaction were examined. If assumptions were not met, the prespecified alternatives were robust standard errors or a transformation. They were applied and reported as sensitivity analyses, without switching models according to significance.</w:t>
      </w:r>
    </w:p>
    <w:p>
      <w:pPr>
        <w:pStyle w:val="BodyText"/>
      </w:pPr>
      <w:r>
        <w:rPr>
          <w:bCs/>
          <w:b/>
        </w:rPr>
        <w:t xml:space="preserve">Reporting of estimates.</w:t>
      </w:r>
      <w:r>
        <w:t xml:space="preserve"> </w:t>
      </w:r>
      <w:r>
        <w:t xml:space="preserve">For each arm, adjusted means (estimated marginal means) with 95% confidence intervals are reported. The primary result is the adjusted AI-map minus student-map difference in original score units, with its 95% confidence interval and two-sided p value at α = .05. A standardised effect size is also given: the adjusted difference divided by the pooled baseline standard deviation of the outcome.</w:t>
      </w:r>
    </w:p>
    <w:p>
      <w:pPr>
        <w:pStyle w:val="BodyText"/>
      </w:pPr>
      <w:r>
        <w:rPr>
          <w:bCs/>
          <w:b/>
        </w:rPr>
        <w:t xml:space="preserve">Supporting and secondary analyses.</w:t>
      </w:r>
      <w:r>
        <w:t xml:space="preserve"> </w:t>
      </w:r>
      <w:r>
        <w:t xml:space="preserve">The supporting comparisons (AI-map versus no-map and student-map versus no-map) were analysed with the same model. Holm’s procedure was applied within this family of two (Holm, 1979). Knowledge and procedural skills were analysed with the same model structure, each adjusted for its own baseline score. Holm’s procedure was applied within the family of six secondary contrasts (two outcomes × three pairwise contrasts). Estimates and confidence intervals are reported for all contrasts, whatever their significance.</w:t>
      </w:r>
    </w:p>
    <w:p>
      <w:pPr>
        <w:pStyle w:val="BodyText"/>
      </w:pPr>
      <w:r>
        <w:rPr>
          <w:bCs/>
          <w:b/>
        </w:rPr>
        <w:t xml:space="preserve">Baseline comparability.</w:t>
      </w:r>
      <w:r>
        <w:t xml:space="preserve"> </w:t>
      </w:r>
      <w:r>
        <w:t xml:space="preserve">Baseline comparability was described with means, standard deviations or frequencies by arm and with standardised mean differences. Absolute standardised differences above 0.10 were flagged descriptively (Austin, 2009).</w:t>
      </w:r>
    </w:p>
    <w:p>
      <w:pPr>
        <w:pStyle w:val="BodyText"/>
      </w:pPr>
      <w:r>
        <w:rPr>
          <w:bCs/>
          <w:b/>
        </w:rPr>
        <w:t xml:space="preserve">Missing data.</w:t>
      </w:r>
      <w:r>
        <w:t xml:space="preserve"> </w:t>
      </w:r>
      <w:r>
        <w:t xml:space="preserve">Missingness is reported by arm and reason. Under a missing-at-random assumption, missing outcomes were handled by multiple imputation by chained equations: [m ≥ 20] imputations, with an imputation model containing arm, all baseline scores, the analysis covariates, section indicators, and attendance as an auxiliary variable (Sterne et al., 2009; White et al., 2011). Last observation carried forward was not used. Three sensitivity analyses were run:</w:t>
      </w:r>
    </w:p>
    <w:p>
      <w:pPr>
        <w:numPr>
          <w:ilvl w:val="0"/>
          <w:numId w:val="1015"/>
        </w:numPr>
        <w:pStyle w:val="Compact"/>
      </w:pPr>
      <w:r>
        <w:t xml:space="preserve">a complete-case analysis</w:t>
      </w:r>
    </w:p>
    <w:p>
      <w:pPr>
        <w:numPr>
          <w:ilvl w:val="0"/>
          <w:numId w:val="1015"/>
        </w:numPr>
        <w:pStyle w:val="Compact"/>
      </w:pPr>
      <w:r>
        <w:t xml:space="preserve">a delta-adjusted analysis that shifted imputed values by 0.2 and 0.5 standard deviations in each arm in turn, to test robustness to data missing not at random</w:t>
      </w:r>
    </w:p>
    <w:p>
      <w:pPr>
        <w:numPr>
          <w:ilvl w:val="0"/>
          <w:numId w:val="1015"/>
        </w:numPr>
        <w:pStyle w:val="Compact"/>
      </w:pPr>
      <w:r>
        <w:t xml:space="preserve">a per-protocol analysis restricted to students who completed teaching (Section 2.8), excluding those who reported contamination</w:t>
      </w:r>
    </w:p>
    <w:p>
      <w:pPr>
        <w:pStyle w:val="FirstParagraph"/>
      </w:pPr>
      <w:r>
        <w:rPr>
          <w:bCs/>
          <w:b/>
        </w:rPr>
        <w:t xml:space="preserve">Masking assessment.</w:t>
      </w:r>
      <w:r>
        <w:t xml:space="preserve"> </w:t>
      </w:r>
      <w:r>
        <w:t xml:space="preserve">Raters’ guesses of arm and occasion are compared descriptively with chance agreement.</w:t>
      </w:r>
    </w:p>
    <w:p>
      <w:pPr>
        <w:pStyle w:val="BodyText"/>
      </w:pPr>
      <w:r>
        <w:rPr>
          <w:bCs/>
          <w:b/>
        </w:rPr>
        <w:t xml:space="preserve">Software and interpretation.</w:t>
      </w:r>
      <w:r>
        <w:t xml:space="preserve"> </w:t>
      </w:r>
      <w:r>
        <w:t xml:space="preserve">Analyses were performed in R [version 4.x.x] (R Core Team, [2025]) using the lme4, lmerTest/pbkrtest, emmeans, clubSandwich, mice and irr packages. The statistical analysis plan was finalised on [date], [before / after] post-instruction data were available. Any analytical decision made after data inspection is identified as such. A nonsignificant difference is not interpreted as equivalence. Because allocation was nonrandom, adjusted differences are interpreted as comparisons of instructional strategies, not as an isolated causal effect of AI generation.</w:t>
      </w:r>
    </w:p>
    <w:bookmarkEnd w:id="31"/>
    <w:bookmarkStart w:id="32" w:name="ethics-registration-and-transparency"/>
    <w:p>
      <w:pPr>
        <w:pStyle w:val="Heading2"/>
      </w:pPr>
      <w:r>
        <w:t xml:space="preserve">2.13. Ethics, registration and transparency</w:t>
      </w:r>
    </w:p>
    <w:p>
      <w:pPr>
        <w:pStyle w:val="FirstParagraph"/>
      </w:pPr>
      <w:r>
        <w:t xml:space="preserve">Ethical approval was obtained from the Research Ethics Committee of the Faculty of Nursing, Tanta University (approval No. 358-12-2025, [dd Month 2025]). The study was conducted between February and May 2026 in accordance with the Declaration of Helsinki (World Medical Association, 2025). Administrative permission was obtained from [the Dean of the Faculty and the Head of the Pediatric Nursing Department]. The approval covered all three arms, the outcome measures, video recording and the preparation of AI-generated materials. [Report any amendments and their dates.]</w:t>
      </w:r>
    </w:p>
    <w:p>
      <w:pPr>
        <w:pStyle w:val="BodyText"/>
      </w:pPr>
      <w:r>
        <w:t xml:space="preserve">Participation was voluntary. Consent was obtained by [a researcher with no teaching or grading role for the participating students]. Separate written consent was obtained for video recording and for access to grade-point-average records. Students could withdraw at any time without academic consequences. Research assessments did not count towards course grades, which were determined only by the department’s standard assessments. Research data were held separately from academic records, and faculty members who taught the students had no access to identifiable research data. Recordings were viewed only by the masked raters and the [principal investigator] and will not be shared publicly. All students received the materials of every arm after the study.</w:t>
      </w:r>
    </w:p>
    <w:p>
      <w:pPr>
        <w:pStyle w:val="BodyText"/>
      </w:pPr>
      <w:r>
        <w:t xml:space="preserve">[Registration: The study was registered at [registry] ([identifier]) on [date], [prospectively/retrospectively]. If it was not registered, state this and the reason. Nonrandom allocation alone does not exempt a study from registration requirements (International Committee of Medical Journal Editors [ICMJE], 2025).]</w:t>
      </w:r>
    </w:p>
    <w:p>
      <w:pPr>
        <w:pStyle w:val="BodyText"/>
      </w:pPr>
      <w:r>
        <w:t xml:space="preserve">Deviations from the protocol, including changes to arm activities, outcomes or analyses, are reported with their timing and reasons in Supplementary S3. Later decisions are not presented as prespecified.</w:t>
      </w:r>
    </w:p>
    <w:p>
      <w:pPr>
        <w:pStyle w:val="BodyText"/>
      </w:pPr>
      <w:r>
        <w:t xml:space="preserve">The data supporting the findings are available from the corresponding author on reasonable request, subject to participant consent and assessment security. The intervention manual, AI prompts, raw and final map examples, case blueprint, scoring rubric and checklists are provided in Supplementary S1–S2. Assessment case scripts and scoring keys are available to researchers on request, to preserve their use in future assessments.</w:t>
      </w:r>
    </w:p>
    <w:p>
      <w:pPr>
        <w:pStyle w:val="BodyText"/>
      </w:pPr>
      <w:r>
        <w:t xml:space="preserve">Generative AI was used only as described above, to prepare intervention materials under clinical review. [Any use of generative AI in preparing this manuscript is declared in the journal’s designated AI declaration section, according to the publisher’s policy.]</w:t>
      </w:r>
    </w:p>
    <w:p>
      <w:r>
        <w:pict>
          <v:rect style="width:0;height:1.5pt" o:hralign="center" o:hrstd="t" o:hr="t"/>
        </w:pict>
      </w:r>
    </w:p>
    <w:bookmarkEnd w:id="32"/>
    <w:bookmarkStart w:id="33" w:name="figure-1-specification.-participant-flow"/>
    <w:p>
      <w:pPr>
        <w:pStyle w:val="Heading2"/>
      </w:pPr>
      <w:r>
        <w:t xml:space="preserve">Figure 1 (specification). Participant flow</w:t>
      </w:r>
    </w:p>
    <w:p>
      <w:pPr>
        <w:pStyle w:val="FirstParagraph"/>
      </w:pPr>
      <w:r>
        <w:t xml:space="preserve">Build the participant-flow diagram in a TREND/CONSORT-style layout with actual counts and reasons by arm:</w:t>
      </w:r>
    </w:p>
    <w:p>
      <w:pPr>
        <w:numPr>
          <w:ilvl w:val="0"/>
          <w:numId w:val="1016"/>
        </w:numPr>
        <w:pStyle w:val="Compact"/>
      </w:pPr>
      <w:r>
        <w:rPr>
          <w:bCs/>
          <w:b/>
        </w:rPr>
        <w:t xml:space="preserve">Enrolment:</w:t>
      </w:r>
      <w:r>
        <w:t xml:space="preserve"> </w:t>
      </w:r>
      <w:r>
        <w:t xml:space="preserve">students enrolled in the course; sections; students assessed for eligibility; excluded (repeating the course, pilot participants, other), with reasons; students approached; students declining consent.</w:t>
      </w:r>
    </w:p>
    <w:p>
      <w:pPr>
        <w:numPr>
          <w:ilvl w:val="0"/>
          <w:numId w:val="1016"/>
        </w:numPr>
        <w:pStyle w:val="Compact"/>
      </w:pPr>
      <w:r>
        <w:rPr>
          <w:bCs/>
          <w:b/>
        </w:rPr>
        <w:t xml:space="preserve">Allocation (nonrandom, by section):</w:t>
      </w:r>
      <w:r>
        <w:t xml:space="preserve"> </w:t>
      </w:r>
      <w:r>
        <w:t xml:space="preserve">sections and students allocated to each arm (AI-map / student-map / no-map), with the number of sections and facilitators per arm.</w:t>
      </w:r>
    </w:p>
    <w:p>
      <w:pPr>
        <w:numPr>
          <w:ilvl w:val="0"/>
          <w:numId w:val="1016"/>
        </w:numPr>
        <w:pStyle w:val="Compact"/>
      </w:pPr>
      <w:r>
        <w:rPr>
          <w:bCs/>
          <w:b/>
        </w:rPr>
        <w:t xml:space="preserve">Baseline:</w:t>
      </w:r>
      <w:r>
        <w:t xml:space="preserve"> </w:t>
      </w:r>
      <w:r>
        <w:t xml:space="preserve">completed baseline assessment, by outcome.</w:t>
      </w:r>
    </w:p>
    <w:p>
      <w:pPr>
        <w:numPr>
          <w:ilvl w:val="0"/>
          <w:numId w:val="1016"/>
        </w:numPr>
        <w:pStyle w:val="Compact"/>
      </w:pPr>
      <w:r>
        <w:rPr>
          <w:bCs/>
          <w:b/>
        </w:rPr>
        <w:t xml:space="preserve">Intervention:</w:t>
      </w:r>
      <w:r>
        <w:t xml:space="preserve"> </w:t>
      </w:r>
      <w:r>
        <w:t xml:space="preserve">attended orientation; attended 0–2, 3 or 4 sessions; discontinued, with reasons; contamination reported.</w:t>
      </w:r>
    </w:p>
    <w:p>
      <w:pPr>
        <w:numPr>
          <w:ilvl w:val="0"/>
          <w:numId w:val="1016"/>
        </w:numPr>
        <w:pStyle w:val="Compact"/>
      </w:pPr>
      <w:r>
        <w:rPr>
          <w:bCs/>
          <w:b/>
        </w:rPr>
        <w:t xml:space="preserve">Follow-up:</w:t>
      </w:r>
      <w:r>
        <w:t xml:space="preserve"> </w:t>
      </w:r>
      <w:r>
        <w:t xml:space="preserve">completed post-instruction assessment, by outcome; lost, with reasons.</w:t>
      </w:r>
    </w:p>
    <w:p>
      <w:pPr>
        <w:numPr>
          <w:ilvl w:val="0"/>
          <w:numId w:val="1016"/>
        </w:numPr>
        <w:pStyle w:val="Compact"/>
      </w:pPr>
      <w:r>
        <w:rPr>
          <w:bCs/>
          <w:b/>
        </w:rPr>
        <w:t xml:space="preserve">Analysis:</w:t>
      </w:r>
      <w:r>
        <w:t xml:space="preserve"> </w:t>
      </w:r>
      <w:r>
        <w:t xml:space="preserve">included in the primary analysis (all allocated, with imputation); complete cases; per-protocol.</w:t>
      </w:r>
    </w:p>
    <w:p>
      <w:r>
        <w:pict>
          <v:rect style="width:0;height:1.5pt" o:hralign="center" o:hrstd="t" o:hr="t"/>
        </w:pict>
      </w:r>
    </w:p>
    <w:bookmarkEnd w:id="33"/>
    <w:bookmarkEnd w:id="34"/>
    <w:bookmarkStart w:id="38" w:name="supplementary-materials"/>
    <w:p>
      <w:pPr>
        <w:pStyle w:val="Heading1"/>
      </w:pPr>
      <w:r>
        <w:t xml:space="preserve">Supplementary materials</w:t>
      </w:r>
    </w:p>
    <w:bookmarkStart w:id="35" w:name="X9cbf1ec66fd5f67201fe32a3df8b333f47525f0"/>
    <w:p>
      <w:pPr>
        <w:pStyle w:val="Heading2"/>
      </w:pPr>
      <w:r>
        <w:t xml:space="preserve">Supplementary S1. Intervention manual (summary)</w:t>
      </w:r>
    </w:p>
    <w:p>
      <w:pPr>
        <w:pStyle w:val="FirstParagraph"/>
      </w:pPr>
      <w:r>
        <w:rPr>
          <w:bCs/>
          <w:b/>
        </w:rPr>
        <w:t xml:space="preserve">Table S1.</w:t>
      </w:r>
      <w:r>
        <w:t xml:space="preserve"> </w:t>
      </w:r>
      <w:r>
        <w:t xml:space="preserve">Session plan: identical timing in all arms; only the arm-specific representation in the case-work block differs.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Topic (index case → variant case)</w:t>
            </w:r>
          </w:p>
        </w:tc>
        <w:tc>
          <w:tcPr/>
          <w:p>
            <w:pPr>
              <w:pStyle w:val="Compact"/>
              <w:jc w:val="left"/>
            </w:pPr>
            <w:r>
              <w:t xml:space="preserve">Pre-class package (all arms)</w:t>
            </w:r>
          </w:p>
        </w:tc>
        <w:tc>
          <w:tcPr/>
          <w:p>
            <w:pPr>
              <w:pStyle w:val="Compact"/>
              <w:jc w:val="left"/>
            </w:pPr>
            <w:r>
              <w:t xml:space="preserve">180-min in-class sequence (all arms)</w:t>
            </w:r>
          </w:p>
        </w:tc>
      </w:tr>
      <w:tr>
        <w:tc>
          <w:tcPr/>
          <w:p>
            <w:pPr>
              <w:pStyle w:val="Compact"/>
              <w:jc w:val="left"/>
            </w:pPr>
            <w:r>
              <w:t xml:space="preserve">0</w:t>
            </w:r>
          </w:p>
        </w:tc>
        <w:tc>
          <w:tcPr/>
          <w:p>
            <w:pPr>
              <w:pStyle w:val="Compact"/>
              <w:jc w:val="left"/>
            </w:pPr>
            <w:r>
              <w:t xml:space="preserve">Orientation: [pediatric dehydration] practice case (non-neurological)</w:t>
            </w:r>
          </w:p>
        </w:tc>
        <w:tc>
          <w:tcPr/>
          <w:p>
            <w:pPr>
              <w:pStyle w:val="Compact"/>
              <w:jc w:val="left"/>
            </w:pPr>
            <w:r>
              <w:t xml:space="preserve">—</w:t>
            </w:r>
          </w:p>
        </w:tc>
        <w:tc>
          <w:tcPr/>
          <w:p>
            <w:pPr>
              <w:pStyle w:val="Compact"/>
              <w:jc w:val="left"/>
            </w:pPr>
            <w:r>
              <w:t xml:space="preserve">[30] min arm-specific orientation</w:t>
            </w:r>
          </w:p>
        </w:tc>
      </w:tr>
      <w:tr>
        <w:tc>
          <w:tcPr/>
          <w:p>
            <w:pPr>
              <w:pStyle w:val="Compact"/>
              <w:jc w:val="left"/>
            </w:pPr>
            <w:r>
              <w:t xml:space="preserve">1</w:t>
            </w:r>
          </w:p>
        </w:tc>
        <w:tc>
          <w:tcPr/>
          <w:p>
            <w:pPr>
              <w:pStyle w:val="Compact"/>
              <w:jc w:val="left"/>
            </w:pPr>
            <w:r>
              <w:t xml:space="preserve">Pediatric neurological assessment; primary versus secondary injury (toddler, mild TBI after a fall → infant with irritability and bulging fontanelle)</w:t>
            </w:r>
          </w:p>
        </w:tc>
        <w:tc>
          <w:tcPr/>
          <w:p>
            <w:pPr>
              <w:pStyle w:val="Compact"/>
              <w:jc w:val="left"/>
            </w:pPr>
            <w:r>
              <w:t xml:space="preserve">Narrated slides, reading guide, self-check quiz</w:t>
            </w:r>
          </w:p>
        </w:tc>
        <w:tc>
          <w:tcPr/>
          <w:p>
            <w:pPr>
              <w:pStyle w:val="Compact"/>
              <w:jc w:val="left"/>
            </w:pPr>
            <w:r>
              <w:t xml:space="preserve">15 readiness check → 75 arm-specific case work (30 individual / 30 group / 15 feedback) → 10 prebriefing → 50 simulation (2 × [10 scenario + 15 PEARLS debriefing]) → 20 consolidation → 10 summary</w:t>
            </w:r>
          </w:p>
        </w:tc>
      </w:tr>
      <w:tr>
        <w:tc>
          <w:tcPr/>
          <w:p>
            <w:pPr>
              <w:pStyle w:val="Compact"/>
              <w:jc w:val="left"/>
            </w:pPr>
            <w:r>
              <w:t xml:space="preserve">2</w:t>
            </w:r>
          </w:p>
        </w:tc>
        <w:tc>
          <w:tcPr/>
          <w:p>
            <w:pPr>
              <w:pStyle w:val="Compact"/>
              <w:jc w:val="left"/>
            </w:pPr>
            <w:r>
              <w:t xml:space="preserve">Recognising deterioration and raised intracranial pressure; evolving haematoma; Cushing’s response (school-age child, lucid interval → adolescent, sports injury)</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3</w:t>
            </w:r>
          </w:p>
        </w:tc>
        <w:tc>
          <w:tcPr/>
          <w:p>
            <w:pPr>
              <w:pStyle w:val="Compact"/>
              <w:jc w:val="left"/>
            </w:pPr>
            <w:r>
              <w:t xml:space="preserve">Priorities in moderate–severe TBI: airway and oxygenation, circulation, cervical spine, positioning, seizures, temperature, glucose, pain; SBAR escalation (child after a road traffic injury in the emergency department → child with a post-traumatic seizure on the ward)</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4</w:t>
            </w:r>
          </w:p>
        </w:tc>
        <w:tc>
          <w:tcPr/>
          <w:p>
            <w:pPr>
              <w:pStyle w:val="Compact"/>
              <w:jc w:val="left"/>
            </w:pPr>
            <w:r>
              <w:t xml:space="preserve">Ongoing care, evaluation and family: neurological observation charting, post-craniotomy care, discharge education and return precautions, family-centred communication (integrated case → variant)</w:t>
            </w:r>
          </w:p>
        </w:tc>
        <w:tc>
          <w:tcPr/>
          <w:p>
            <w:pPr>
              <w:pStyle w:val="Compact"/>
              <w:jc w:val="left"/>
            </w:pPr>
            <w:r>
              <w:t xml:space="preserve">Same</w:t>
            </w:r>
          </w:p>
        </w:tc>
        <w:tc>
          <w:tcPr/>
          <w:p>
            <w:pPr>
              <w:pStyle w:val="Compact"/>
              <w:jc w:val="left"/>
            </w:pPr>
            <w:r>
              <w:t xml:space="preserve">Same</w:t>
            </w:r>
          </w:p>
        </w:tc>
      </w:tr>
    </w:tbl>
    <w:p>
      <w:pPr>
        <w:pStyle w:val="BodyText"/>
      </w:pPr>
      <w:r>
        <w:rPr>
          <w:bCs/>
          <w:b/>
        </w:rPr>
        <w:t xml:space="preserve">Box S1.</w:t>
      </w:r>
      <w:r>
        <w:t xml:space="preserve"> </w:t>
      </w:r>
      <w:r>
        <w:t xml:space="preserve">AI-map generation prompt (template; report the prompt exactly as used).</w:t>
      </w:r>
    </w:p>
    <w:p>
      <w:pPr>
        <w:pStyle w:val="SourceCode"/>
      </w:pPr>
      <w:r>
        <w:rPr>
          <w:rStyle w:val="VerbatimChar"/>
        </w:rPr>
        <w:t xml:space="preserve">Role: You are assisting pediatric nursing educators to prepare a teaching mind map</w:t>
      </w:r>
      <w:r>
        <w:br/>
      </w:r>
      <w:r>
        <w:rPr>
          <w:rStyle w:val="VerbatimChar"/>
        </w:rPr>
        <w:t xml:space="preserve">for third-year undergraduate nursing students.</w:t>
      </w:r>
      <w:r>
        <w:br/>
      </w:r>
      <w:r>
        <w:br/>
      </w:r>
      <w:r>
        <w:rPr>
          <w:rStyle w:val="VerbatimChar"/>
        </w:rPr>
        <w:t xml:space="preserve">Task: Using ONLY the case and key points below, produce a hierarchical outline for a</w:t>
      </w:r>
      <w:r>
        <w:br/>
      </w:r>
      <w:r>
        <w:rPr>
          <w:rStyle w:val="VerbatimChar"/>
        </w:rPr>
        <w:t xml:space="preserve">mind map about the nursing care of this child.</w:t>
      </w:r>
      <w:r>
        <w:br/>
      </w:r>
      <w:r>
        <w:br/>
      </w:r>
      <w:r>
        <w:rPr>
          <w:rStyle w:val="VerbatimChar"/>
        </w:rPr>
        <w:t xml:space="preserve">Structure (use exactly these seven main branches, in this order):</w:t>
      </w:r>
      <w:r>
        <w:br/>
      </w:r>
      <w:r>
        <w:rPr>
          <w:rStyle w:val="VerbatimChar"/>
        </w:rPr>
        <w:t xml:space="preserve">1. The child and situation  2. Cues  3. Interpretation  4. Prioritised nursing problems</w:t>
      </w:r>
      <w:r>
        <w:br/>
      </w:r>
      <w:r>
        <w:rPr>
          <w:rStyle w:val="VerbatimChar"/>
        </w:rPr>
        <w:t xml:space="preserve">5. Goals  6. Actions and rationale (including escalation)  7. Evaluation and reassessment</w:t>
      </w:r>
      <w:r>
        <w:br/>
      </w:r>
      <w:r>
        <w:br/>
      </w:r>
      <w:r>
        <w:rPr>
          <w:rStyle w:val="VerbatimChar"/>
        </w:rPr>
        <w:t xml:space="preserve">Rules:</w:t>
      </w:r>
      <w:r>
        <w:br/>
      </w:r>
      <w:r>
        <w:rPr>
          <w:rStyle w:val="VerbatimChar"/>
        </w:rPr>
        <w:t xml:space="preserve">- Maximum three levels; each node at most 8 words; keywords, not sentences.</w:t>
      </w:r>
      <w:r>
        <w:br/>
      </w:r>
      <w:r>
        <w:rPr>
          <w:rStyle w:val="VerbatimChar"/>
        </w:rPr>
        <w:t xml:space="preserve">- Use age-specific normal values for a [age]-year-old child.</w:t>
      </w:r>
      <w:r>
        <w:br/>
      </w:r>
      <w:r>
        <w:rPr>
          <w:rStyle w:val="VerbatimChar"/>
        </w:rPr>
        <w:t xml:space="preserve">- Order nursing problems and actions by clinical priority and number them.</w:t>
      </w:r>
      <w:r>
        <w:br/>
      </w:r>
      <w:r>
        <w:rPr>
          <w:rStyle w:val="VerbatimChar"/>
        </w:rPr>
        <w:t xml:space="preserve">- Stay within the registered nurse's scope of practice; mark medical orders as</w:t>
      </w:r>
      <w:r>
        <w:br/>
      </w:r>
      <w:r>
        <w:rPr>
          <w:rStyle w:val="VerbatimChar"/>
        </w:rPr>
        <w:t xml:space="preserve">  "collaborative".</w:t>
      </w:r>
      <w:r>
        <w:br/>
      </w:r>
      <w:r>
        <w:rPr>
          <w:rStyle w:val="VerbatimChar"/>
        </w:rPr>
        <w:t xml:space="preserve">- Link cues to the problems they support (write "→ problem n").</w:t>
      </w:r>
      <w:r>
        <w:br/>
      </w:r>
      <w:r>
        <w:rPr>
          <w:rStyle w:val="VerbatimChar"/>
        </w:rPr>
        <w:t xml:space="preserve">- Do not add drugs, doses or interventions not supported by the key points.</w:t>
      </w:r>
      <w:r>
        <w:br/>
      </w:r>
      <w:r>
        <w:rPr>
          <w:rStyle w:val="VerbatimChar"/>
        </w:rPr>
        <w:t xml:space="preserve">- Output as a Markdown nested list only.</w:t>
      </w:r>
      <w:r>
        <w:br/>
      </w:r>
      <w:r>
        <w:br/>
      </w:r>
      <w:r>
        <w:rPr>
          <w:rStyle w:val="VerbatimChar"/>
        </w:rPr>
        <w:t xml:space="preserve">Case: [fictional index case text]</w:t>
      </w:r>
      <w:r>
        <w:br/>
      </w:r>
      <w:r>
        <w:rPr>
          <w:rStyle w:val="VerbatimChar"/>
        </w:rPr>
        <w:t xml:space="preserve">Learning objectives: [session objectives]</w:t>
      </w:r>
      <w:r>
        <w:br/>
      </w:r>
      <w:r>
        <w:rPr>
          <w:rStyle w:val="VerbatimChar"/>
        </w:rPr>
        <w:t xml:space="preserve">Guideline key points (team-written summary): [bullet list]</w:t>
      </w:r>
    </w:p>
    <w:p>
      <w:pPr>
        <w:pStyle w:val="FirstParagraph"/>
      </w:pPr>
      <w:r>
        <w:rPr>
          <w:bCs/>
          <w:b/>
        </w:rPr>
        <w:t xml:space="preserve">Table S6.</w:t>
      </w:r>
      <w:r>
        <w:t xml:space="preserve"> </w:t>
      </w:r>
      <w:r>
        <w:t xml:space="preserve">AI-Map Clinical Review Checklist: each node is judged on every criterion, followed by a decision to retain, modify, delete or add.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Question for reviewers</w:t>
            </w:r>
          </w:p>
        </w:tc>
        <w:tc>
          <w:tcPr/>
          <w:p>
            <w:pPr>
              <w:pStyle w:val="Compact"/>
              <w:jc w:val="left"/>
            </w:pPr>
            <w:r>
              <w:t xml:space="preserve">Error category if not met</w:t>
            </w:r>
          </w:p>
        </w:tc>
      </w:tr>
      <w:tr>
        <w:tc>
          <w:tcPr/>
          <w:p>
            <w:pPr>
              <w:pStyle w:val="Compact"/>
              <w:jc w:val="left"/>
            </w:pPr>
            <w:r>
              <w:t xml:space="preserve">Accuracy</w:t>
            </w:r>
          </w:p>
        </w:tc>
        <w:tc>
          <w:tcPr/>
          <w:p>
            <w:pPr>
              <w:pStyle w:val="Compact"/>
              <w:jc w:val="left"/>
            </w:pPr>
            <w:r>
              <w:t xml:space="preserve">Is the content factually correct?</w:t>
            </w:r>
          </w:p>
        </w:tc>
        <w:tc>
          <w:tcPr/>
          <w:p>
            <w:pPr>
              <w:pStyle w:val="Compact"/>
              <w:jc w:val="left"/>
            </w:pPr>
            <w:r>
              <w:t xml:space="preserve">Factual error</w:t>
            </w:r>
          </w:p>
        </w:tc>
      </w:tr>
      <w:tr>
        <w:tc>
          <w:tcPr/>
          <w:p>
            <w:pPr>
              <w:pStyle w:val="Compact"/>
              <w:jc w:val="left"/>
            </w:pPr>
            <w:r>
              <w:t xml:space="preserve">Guideline agreement</w:t>
            </w:r>
          </w:p>
        </w:tc>
        <w:tc>
          <w:tcPr/>
          <w:p>
            <w:pPr>
              <w:pStyle w:val="Compact"/>
              <w:jc w:val="left"/>
            </w:pPr>
            <w:r>
              <w:t xml:space="preserve">Is it supported by the cited pediatric guidance?</w:t>
            </w:r>
          </w:p>
        </w:tc>
        <w:tc>
          <w:tcPr/>
          <w:p>
            <w:pPr>
              <w:pStyle w:val="Compact"/>
              <w:jc w:val="left"/>
            </w:pPr>
            <w:r>
              <w:t xml:space="preserve">Unsupported content</w:t>
            </w:r>
          </w:p>
        </w:tc>
      </w:tr>
      <w:tr>
        <w:tc>
          <w:tcPr/>
          <w:p>
            <w:pPr>
              <w:pStyle w:val="Compact"/>
              <w:jc w:val="left"/>
            </w:pPr>
            <w:r>
              <w:t xml:space="preserve">Age appropriateness</w:t>
            </w:r>
          </w:p>
        </w:tc>
        <w:tc>
          <w:tcPr/>
          <w:p>
            <w:pPr>
              <w:pStyle w:val="Compact"/>
              <w:jc w:val="left"/>
            </w:pPr>
            <w:r>
              <w:t xml:space="preserve">Are normal values, scales and interventions correct for this age?</w:t>
            </w:r>
          </w:p>
        </w:tc>
        <w:tc>
          <w:tcPr/>
          <w:p>
            <w:pPr>
              <w:pStyle w:val="Compact"/>
              <w:jc w:val="left"/>
            </w:pPr>
            <w:r>
              <w:t xml:space="preserve">Not age-appropriate</w:t>
            </w:r>
          </w:p>
        </w:tc>
      </w:tr>
      <w:tr>
        <w:tc>
          <w:tcPr/>
          <w:p>
            <w:pPr>
              <w:pStyle w:val="Compact"/>
              <w:jc w:val="left"/>
            </w:pPr>
            <w:r>
              <w:t xml:space="preserve">Nursing scope</w:t>
            </w:r>
          </w:p>
        </w:tc>
        <w:tc>
          <w:tcPr/>
          <w:p>
            <w:pPr>
              <w:pStyle w:val="Compact"/>
              <w:jc w:val="left"/>
            </w:pPr>
            <w:r>
              <w:t xml:space="preserve">Is the action within nursing scope, or labelled collaborative?</w:t>
            </w:r>
          </w:p>
        </w:tc>
        <w:tc>
          <w:tcPr/>
          <w:p>
            <w:pPr>
              <w:pStyle w:val="Compact"/>
              <w:jc w:val="left"/>
            </w:pPr>
            <w:r>
              <w:t xml:space="preserve">Outside nursing scope</w:t>
            </w:r>
          </w:p>
        </w:tc>
      </w:tr>
      <w:tr>
        <w:tc>
          <w:tcPr/>
          <w:p>
            <w:pPr>
              <w:pStyle w:val="Compact"/>
              <w:jc w:val="left"/>
            </w:pPr>
            <w:r>
              <w:t xml:space="preserve">Priority and safety</w:t>
            </w:r>
          </w:p>
        </w:tc>
        <w:tc>
          <w:tcPr/>
          <w:p>
            <w:pPr>
              <w:pStyle w:val="Compact"/>
              <w:jc w:val="left"/>
            </w:pPr>
            <w:r>
              <w:t xml:space="preserve">Are priorities correctly ordered, and is anything unsafe?</w:t>
            </w:r>
          </w:p>
        </w:tc>
        <w:tc>
          <w:tcPr/>
          <w:p>
            <w:pPr>
              <w:pStyle w:val="Compact"/>
              <w:jc w:val="left"/>
            </w:pPr>
            <w:r>
              <w:t xml:space="preserve">Unsafe or mis-ordered priority</w:t>
            </w:r>
          </w:p>
        </w:tc>
      </w:tr>
      <w:tr>
        <w:tc>
          <w:tcPr/>
          <w:p>
            <w:pPr>
              <w:pStyle w:val="Compact"/>
              <w:jc w:val="left"/>
            </w:pPr>
            <w:r>
              <w:t xml:space="preserve">Completeness</w:t>
            </w:r>
          </w:p>
        </w:tc>
        <w:tc>
          <w:tcPr/>
          <w:p>
            <w:pPr>
              <w:pStyle w:val="Compact"/>
              <w:jc w:val="left"/>
            </w:pPr>
            <w:r>
              <w:t xml:space="preserve">Are any critical cues, problems, actions or reassessments missing?</w:t>
            </w:r>
          </w:p>
        </w:tc>
        <w:tc>
          <w:tcPr/>
          <w:p>
            <w:pPr>
              <w:pStyle w:val="Compact"/>
              <w:jc w:val="left"/>
            </w:pPr>
            <w:r>
              <w:t xml:space="preserve">Omission</w:t>
            </w:r>
          </w:p>
        </w:tc>
      </w:tr>
      <w:tr>
        <w:tc>
          <w:tcPr/>
          <w:p>
            <w:pPr>
              <w:pStyle w:val="Compact"/>
              <w:jc w:val="left"/>
            </w:pPr>
            <w:r>
              <w:t xml:space="preserve">Clarity</w:t>
            </w:r>
          </w:p>
        </w:tc>
        <w:tc>
          <w:tcPr/>
          <w:p>
            <w:pPr>
              <w:pStyle w:val="Compact"/>
              <w:jc w:val="left"/>
            </w:pPr>
            <w:r>
              <w:t xml:space="preserve">Is the node clear and unambiguous to a third-year student?</w:t>
            </w:r>
          </w:p>
        </w:tc>
        <w:tc>
          <w:tcPr/>
          <w:p>
            <w:pPr>
              <w:pStyle w:val="Compact"/>
              <w:jc w:val="left"/>
            </w:pPr>
            <w:r>
              <w:t xml:space="preserve">Clarity (formatting only)</w:t>
            </w:r>
          </w:p>
        </w:tc>
      </w:tr>
    </w:tbl>
    <w:p>
      <w:pPr>
        <w:pStyle w:val="BodyText"/>
      </w:pPr>
      <w:r>
        <w:t xml:space="preserve">Shared Facilitator Feedback Criteria (all arms): (1) accuracy and completeness of cues; (2) interpretation against age-specific norms; (3) prioritisation with rationale; (4) safety and scope of actions, including escalation; (5) the evaluation and reassessment plan. Facilitators state one strength and one or two improvement points on the criteria relevant to the product and tick the criteria addressed in the feedback log.</w:t>
      </w:r>
    </w:p>
    <w:bookmarkEnd w:id="35"/>
    <w:bookmarkStart w:id="36" w:name="X7965b7655d6483f77692bd8419b3e3f2c7ad2bf"/>
    <w:p>
      <w:pPr>
        <w:pStyle w:val="Heading2"/>
      </w:pPr>
      <w:r>
        <w:t xml:space="preserve">Supplementary S2. Assessment materials (summary)</w:t>
      </w:r>
    </w:p>
    <w:p>
      <w:pPr>
        <w:pStyle w:val="FirstParagraph"/>
      </w:pPr>
      <w:r>
        <w:rPr>
          <w:bCs/>
          <w:b/>
        </w:rPr>
        <w:t xml:space="preserve">Table S2.</w:t>
      </w:r>
      <w:r>
        <w:t xml:space="preserve"> </w:t>
      </w:r>
      <w:r>
        <w:t xml:space="preserve">Specification of the parallel assessment forms. None of these cases was used in teaching. Pairs are matched on the stated features.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Form A, case 1</w:t>
            </w:r>
          </w:p>
        </w:tc>
        <w:tc>
          <w:tcPr/>
          <w:p>
            <w:pPr>
              <w:pStyle w:val="Compact"/>
              <w:jc w:val="left"/>
            </w:pPr>
            <w:r>
              <w:t xml:space="preserve">Form B, case 1</w:t>
            </w:r>
          </w:p>
        </w:tc>
        <w:tc>
          <w:tcPr/>
          <w:p>
            <w:pPr>
              <w:pStyle w:val="Compact"/>
              <w:jc w:val="left"/>
            </w:pPr>
            <w:r>
              <w:t xml:space="preserve">Form A, case 2</w:t>
            </w:r>
          </w:p>
        </w:tc>
        <w:tc>
          <w:tcPr/>
          <w:p>
            <w:pPr>
              <w:pStyle w:val="Compact"/>
              <w:jc w:val="left"/>
            </w:pPr>
            <w:r>
              <w:t xml:space="preserve">Form B, case 2</w:t>
            </w:r>
          </w:p>
        </w:tc>
      </w:tr>
      <w:tr>
        <w:tc>
          <w:tcPr/>
          <w:p>
            <w:pPr>
              <w:pStyle w:val="Compact"/>
              <w:jc w:val="left"/>
            </w:pPr>
            <w:r>
              <w:t xml:space="preserve">Child</w:t>
            </w:r>
          </w:p>
        </w:tc>
        <w:tc>
          <w:tcPr/>
          <w:p>
            <w:pPr>
              <w:pStyle w:val="Compact"/>
              <w:jc w:val="left"/>
            </w:pPr>
            <w:r>
              <w:t xml:space="preserve">[2-year-old]</w:t>
            </w:r>
          </w:p>
        </w:tc>
        <w:tc>
          <w:tcPr/>
          <w:p>
            <w:pPr>
              <w:pStyle w:val="Compact"/>
              <w:jc w:val="left"/>
            </w:pPr>
            <w:r>
              <w:t xml:space="preserve">[3-year-old]</w:t>
            </w:r>
          </w:p>
        </w:tc>
        <w:tc>
          <w:tcPr/>
          <w:p>
            <w:pPr>
              <w:pStyle w:val="Compact"/>
              <w:jc w:val="left"/>
            </w:pPr>
            <w:r>
              <w:t xml:space="preserve">[9-year-old]</w:t>
            </w:r>
          </w:p>
        </w:tc>
        <w:tc>
          <w:tcPr/>
          <w:p>
            <w:pPr>
              <w:pStyle w:val="Compact"/>
              <w:jc w:val="left"/>
            </w:pPr>
            <w:r>
              <w:t xml:space="preserve">[10-year-old]</w:t>
            </w:r>
          </w:p>
        </w:tc>
      </w:tr>
      <w:tr>
        <w:tc>
          <w:tcPr/>
          <w:p>
            <w:pPr>
              <w:pStyle w:val="Compact"/>
              <w:jc w:val="left"/>
            </w:pPr>
            <w:r>
              <w:t xml:space="preserve">Mechanism and setting</w:t>
            </w:r>
          </w:p>
        </w:tc>
        <w:tc>
          <w:tcPr/>
          <w:p>
            <w:pPr>
              <w:pStyle w:val="Compact"/>
              <w:jc w:val="left"/>
            </w:pPr>
            <w:r>
              <w:t xml:space="preserve">[Fall from stairs; emergency department, 2 h after injury]</w:t>
            </w:r>
          </w:p>
        </w:tc>
        <w:tc>
          <w:tcPr/>
          <w:p>
            <w:pPr>
              <w:pStyle w:val="Compact"/>
              <w:jc w:val="left"/>
            </w:pPr>
            <w:r>
              <w:t xml:space="preserve">[Fall from furniture; emergency department, 2 h after injury]</w:t>
            </w:r>
          </w:p>
        </w:tc>
        <w:tc>
          <w:tcPr/>
          <w:p>
            <w:pPr>
              <w:pStyle w:val="Compact"/>
              <w:jc w:val="left"/>
            </w:pPr>
            <w:r>
              <w:t xml:space="preserve">[Pedestrian road traffic injury; ward, 6 h after admission]</w:t>
            </w:r>
          </w:p>
        </w:tc>
        <w:tc>
          <w:tcPr/>
          <w:p>
            <w:pPr>
              <w:pStyle w:val="Compact"/>
              <w:jc w:val="left"/>
            </w:pPr>
            <w:r>
              <w:t xml:space="preserve">[Bicycle fall without a helmet; ward, 6 h after admission]</w:t>
            </w:r>
          </w:p>
        </w:tc>
      </w:tr>
      <w:tr>
        <w:tc>
          <w:tcPr/>
          <w:p>
            <w:pPr>
              <w:pStyle w:val="Compact"/>
              <w:jc w:val="left"/>
            </w:pPr>
            <w:r>
              <w:t xml:space="preserve">Initial state (0 min)</w:t>
            </w:r>
          </w:p>
        </w:tc>
        <w:tc>
          <w:tcPr/>
          <w:p>
            <w:pPr>
              <w:pStyle w:val="Compact"/>
              <w:jc w:val="left"/>
            </w:pPr>
            <w:r>
              <w:t xml:space="preserve">[pGCS 14, irritable, vomited twice, normal vital signs for age, pupils equal and reactive, scalp haematoma]</w:t>
            </w:r>
          </w:p>
        </w:tc>
        <w:tc>
          <w:tcPr/>
          <w:p>
            <w:pPr>
              <w:pStyle w:val="Compact"/>
              <w:jc w:val="left"/>
            </w:pPr>
            <w:r>
              <w:t xml:space="preserve">[Matched]</w:t>
            </w:r>
          </w:p>
        </w:tc>
        <w:tc>
          <w:tcPr/>
          <w:p>
            <w:pPr>
              <w:pStyle w:val="Compact"/>
              <w:jc w:val="left"/>
            </w:pPr>
            <w:r>
              <w:t xml:space="preserve">[GCS 13, headache, normal vital signs for age]</w:t>
            </w:r>
          </w:p>
        </w:tc>
        <w:tc>
          <w:tcPr/>
          <w:p>
            <w:pPr>
              <w:pStyle w:val="Compact"/>
              <w:jc w:val="left"/>
            </w:pPr>
            <w:r>
              <w:t xml:space="preserve">[Matched]</w:t>
            </w:r>
          </w:p>
        </w:tc>
      </w:tr>
      <w:tr>
        <w:tc>
          <w:tcPr/>
          <w:p>
            <w:pPr>
              <w:pStyle w:val="Compact"/>
              <w:jc w:val="left"/>
            </w:pPr>
            <w:r>
              <w:t xml:space="preserve">Deterioration (4 min)</w:t>
            </w:r>
          </w:p>
        </w:tc>
        <w:tc>
          <w:tcPr/>
          <w:p>
            <w:pPr>
              <w:pStyle w:val="Compact"/>
              <w:jc w:val="left"/>
            </w:pPr>
            <w:r>
              <w:t xml:space="preserve">[pGCS 10, unequal pupils, relative bradycardia, rising blood pressure, irregular breathing, oxygen saturation 93%]</w:t>
            </w:r>
          </w:p>
        </w:tc>
        <w:tc>
          <w:tcPr/>
          <w:p>
            <w:pPr>
              <w:pStyle w:val="Compact"/>
              <w:jc w:val="left"/>
            </w:pPr>
            <w:r>
              <w:t xml:space="preserve">[Matched]</w:t>
            </w:r>
          </w:p>
        </w:tc>
        <w:tc>
          <w:tcPr/>
          <w:p>
            <w:pPr>
              <w:pStyle w:val="Compact"/>
              <w:jc w:val="left"/>
            </w:pPr>
            <w:r>
              <w:t xml:space="preserve">[Generalised seizure, then post-ictal GCS 10, oxygen saturation 90%]</w:t>
            </w:r>
          </w:p>
        </w:tc>
        <w:tc>
          <w:tcPr/>
          <w:p>
            <w:pPr>
              <w:pStyle w:val="Compact"/>
              <w:jc w:val="left"/>
            </w:pPr>
            <w:r>
              <w:t xml:space="preserve">[Matched]</w:t>
            </w:r>
          </w:p>
        </w:tc>
      </w:tr>
      <w:tr>
        <w:tc>
          <w:tcPr/>
          <w:p>
            <w:pPr>
              <w:pStyle w:val="Compact"/>
              <w:jc w:val="left"/>
            </w:pPr>
            <w:r>
              <w:t xml:space="preserve">Decision points and critical actions</w:t>
            </w:r>
          </w:p>
        </w:tc>
        <w:tc>
          <w:tcPr/>
          <w:p>
            <w:pPr>
              <w:pStyle w:val="Compact"/>
              <w:jc w:val="left"/>
            </w:pPr>
            <w:r>
              <w:t xml:space="preserve">Recognise deterioration; airway and oxygen; head of bed 30° with midline head; cervical spine; SBAR escalation; reassessment interval</w:t>
            </w:r>
          </w:p>
        </w:tc>
        <w:tc>
          <w:tcPr/>
          <w:p>
            <w:pPr>
              <w:pStyle w:val="Compact"/>
              <w:jc w:val="left"/>
            </w:pPr>
            <w:r>
              <w:t xml:space="preserve">Same</w:t>
            </w:r>
          </w:p>
        </w:tc>
        <w:tc>
          <w:tcPr/>
          <w:p>
            <w:pPr>
              <w:pStyle w:val="Compact"/>
              <w:jc w:val="left"/>
            </w:pPr>
            <w:r>
              <w:t xml:space="preserve">Seizure safety; airway and oxygen; time the seizure; SBAR escalation; post-ictal reassessment</w:t>
            </w:r>
          </w:p>
        </w:tc>
        <w:tc>
          <w:tcPr/>
          <w:p>
            <w:pPr>
              <w:pStyle w:val="Compact"/>
              <w:jc w:val="left"/>
            </w:pPr>
            <w:r>
              <w:t xml:space="preserve">Same</w:t>
            </w:r>
          </w:p>
        </w:tc>
      </w:tr>
      <w:tr>
        <w:tc>
          <w:tcPr/>
          <w:p>
            <w:pPr>
              <w:pStyle w:val="Compact"/>
              <w:jc w:val="left"/>
            </w:pPr>
            <w:r>
              <w:t xml:space="preserve">Equipment and time</w:t>
            </w:r>
          </w:p>
        </w:tc>
        <w:tc>
          <w:tcPr/>
          <w:p>
            <w:pPr>
              <w:pStyle w:val="Compact"/>
              <w:jc w:val="left"/>
            </w:pPr>
            <w:r>
              <w:t xml:space="preserve">Manikin, monitor, oxygen, suction, observation chart; 10 min</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bl>
    <w:p>
      <w:pPr>
        <w:pStyle w:val="BodyText"/>
      </w:pPr>
      <w:r>
        <w:rPr>
          <w:bCs/>
          <w:b/>
        </w:rPr>
        <w:t xml:space="preserve">Box S2.</w:t>
      </w:r>
      <w:r>
        <w:t xml:space="preserve"> </w:t>
      </w:r>
      <w:r>
        <w:t xml:space="preserve">Structured reasoning interview, asked after each scenario in a fixed order, with only the prompt</w:t>
      </w:r>
      <w:r>
        <w:t xml:space="preserve"> </w:t>
      </w:r>
      <w:r>
        <w:t xml:space="preserve">“</w:t>
      </w:r>
      <w:r>
        <w:t xml:space="preserve">Anything else?</w:t>
      </w:r>
      <w:r>
        <w:t xml:space="preserve">”</w:t>
      </w:r>
      <w:r>
        <w:t xml:space="preserve">:</w:t>
      </w:r>
    </w:p>
    <w:p>
      <w:pPr>
        <w:numPr>
          <w:ilvl w:val="0"/>
          <w:numId w:val="1017"/>
        </w:numPr>
        <w:pStyle w:val="Compact"/>
      </w:pPr>
      <w:r>
        <w:t xml:space="preserve">What did you notice about this child, and what did it mean to you?</w:t>
      </w:r>
    </w:p>
    <w:p>
      <w:pPr>
        <w:numPr>
          <w:ilvl w:val="0"/>
          <w:numId w:val="1017"/>
        </w:numPr>
        <w:pStyle w:val="Compact"/>
      </w:pPr>
      <w:r>
        <w:t xml:space="preserve">What were the most important problems, in order of priority, and why?</w:t>
      </w:r>
    </w:p>
    <w:p>
      <w:pPr>
        <w:numPr>
          <w:ilvl w:val="0"/>
          <w:numId w:val="1017"/>
        </w:numPr>
        <w:pStyle w:val="Compact"/>
      </w:pPr>
      <w:r>
        <w:t xml:space="preserve">What were you trying to achieve for this child?</w:t>
      </w:r>
    </w:p>
    <w:p>
      <w:pPr>
        <w:numPr>
          <w:ilvl w:val="0"/>
          <w:numId w:val="1017"/>
        </w:numPr>
        <w:pStyle w:val="Compact"/>
      </w:pPr>
      <w:r>
        <w:t xml:space="preserve">What did you do, or what would you do next, and why?</w:t>
      </w:r>
    </w:p>
    <w:p>
      <w:pPr>
        <w:numPr>
          <w:ilvl w:val="0"/>
          <w:numId w:val="1017"/>
        </w:numPr>
        <w:pStyle w:val="Compact"/>
      </w:pPr>
      <w:r>
        <w:t xml:space="preserve">How would you know whether your actions were working? What would you reassess, and when? Looking back, what would you do differently?</w:t>
      </w:r>
    </w:p>
    <w:p>
      <w:pPr>
        <w:pStyle w:val="FirstParagraph"/>
      </w:pPr>
      <w:r>
        <w:rPr>
          <w:bCs/>
          <w:b/>
        </w:rPr>
        <w:t xml:space="preserve">Table S3.</w:t>
      </w:r>
      <w:r>
        <w:t xml:space="preserve"> </w:t>
      </w:r>
      <w:r>
        <w:t xml:space="preserve">PN-CRER items. Each item is scored 0–3 against generic anchors and the case-specific key: 0 = not demonstrated or unsafe; 1 = fewer than half of the critical elements, or a major misinterpretation; 2 = at least half, with minor omissions and nothing unsafe; 3 = all critical elements, accurate, justified and timely.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Clinical Reasoning Cycle phase</w:t>
            </w:r>
          </w:p>
        </w:tc>
        <w:tc>
          <w:tcPr/>
          <w:p>
            <w:pPr>
              <w:pStyle w:val="Compact"/>
              <w:jc w:val="left"/>
            </w:pPr>
            <w:r>
              <w:t xml:space="preserve">What is scored</w:t>
            </w:r>
          </w:p>
        </w:tc>
        <w:tc>
          <w:tcPr/>
          <w:p>
            <w:pPr>
              <w:pStyle w:val="Compact"/>
              <w:jc w:val="left"/>
            </w:pPr>
            <w:r>
              <w:t xml:space="preserve">Source of evidence</w:t>
            </w:r>
          </w:p>
        </w:tc>
      </w:tr>
      <w:tr>
        <w:tc>
          <w:tcPr/>
          <w:p>
            <w:pPr>
              <w:pStyle w:val="Compact"/>
              <w:jc w:val="left"/>
            </w:pPr>
            <w:r>
              <w:t xml:space="preserve">1</w:t>
            </w:r>
          </w:p>
        </w:tc>
        <w:tc>
          <w:tcPr/>
          <w:p>
            <w:pPr>
              <w:pStyle w:val="Compact"/>
              <w:jc w:val="left"/>
            </w:pPr>
            <w:r>
              <w:t xml:space="preserve">Consider the child’s situation</w:t>
            </w:r>
          </w:p>
        </w:tc>
        <w:tc>
          <w:tcPr/>
          <w:p>
            <w:pPr>
              <w:pStyle w:val="Compact"/>
              <w:jc w:val="left"/>
            </w:pPr>
            <w:r>
              <w:t xml:space="preserve">Integrates age, developmental stage, mechanism, history and parent information into an initial picture</w:t>
            </w:r>
          </w:p>
        </w:tc>
        <w:tc>
          <w:tcPr/>
          <w:p>
            <w:pPr>
              <w:pStyle w:val="Compact"/>
              <w:jc w:val="left"/>
            </w:pPr>
            <w:r>
              <w:t xml:space="preserve">Observed + interview</w:t>
            </w:r>
          </w:p>
        </w:tc>
      </w:tr>
      <w:tr>
        <w:tc>
          <w:tcPr/>
          <w:p>
            <w:pPr>
              <w:pStyle w:val="Compact"/>
              <w:jc w:val="left"/>
            </w:pPr>
            <w:r>
              <w:t xml:space="preserve">2</w:t>
            </w:r>
          </w:p>
        </w:tc>
        <w:tc>
          <w:tcPr/>
          <w:p>
            <w:pPr>
              <w:pStyle w:val="Compact"/>
              <w:jc w:val="left"/>
            </w:pPr>
            <w:r>
              <w:t xml:space="preserve">Collect cues</w:t>
            </w:r>
          </w:p>
        </w:tc>
        <w:tc>
          <w:tcPr/>
          <w:p>
            <w:pPr>
              <w:pStyle w:val="Compact"/>
              <w:jc w:val="left"/>
            </w:pPr>
            <w:r>
              <w:t xml:space="preserve">Systematically gathers neurological and physiological cues (GCS/pGCS or AVPU, pupils, limbs, vital signs, oxygen saturation, fontanelle, vomiting, seizure)</w:t>
            </w:r>
          </w:p>
        </w:tc>
        <w:tc>
          <w:tcPr/>
          <w:p>
            <w:pPr>
              <w:pStyle w:val="Compact"/>
              <w:jc w:val="left"/>
            </w:pPr>
            <w:r>
              <w:t xml:space="preserve">Observed</w:t>
            </w:r>
          </w:p>
        </w:tc>
      </w:tr>
      <w:tr>
        <w:tc>
          <w:tcPr/>
          <w:p>
            <w:pPr>
              <w:pStyle w:val="Compact"/>
              <w:jc w:val="left"/>
            </w:pPr>
            <w:r>
              <w:t xml:space="preserve">3</w:t>
            </w:r>
          </w:p>
        </w:tc>
        <w:tc>
          <w:tcPr/>
          <w:p>
            <w:pPr>
              <w:pStyle w:val="Compact"/>
              <w:jc w:val="left"/>
            </w:pPr>
            <w:r>
              <w:t xml:space="preserve">Process information</w:t>
            </w:r>
          </w:p>
        </w:tc>
        <w:tc>
          <w:tcPr/>
          <w:p>
            <w:pPr>
              <w:pStyle w:val="Compact"/>
              <w:jc w:val="left"/>
            </w:pPr>
            <w:r>
              <w:t xml:space="preserve">Interprets cues against age norms, clusters and recognises patterns (e.g., falling GCS ≥ 2, pupil asymmetry, Cushing’s response), anticipates the trajectory</w:t>
            </w:r>
          </w:p>
        </w:tc>
        <w:tc>
          <w:tcPr/>
          <w:p>
            <w:pPr>
              <w:pStyle w:val="Compact"/>
              <w:jc w:val="left"/>
            </w:pPr>
            <w:r>
              <w:t xml:space="preserve">Interview + observed</w:t>
            </w:r>
          </w:p>
        </w:tc>
      </w:tr>
      <w:tr>
        <w:tc>
          <w:tcPr/>
          <w:p>
            <w:pPr>
              <w:pStyle w:val="Compact"/>
              <w:jc w:val="left"/>
            </w:pPr>
            <w:r>
              <w:t xml:space="preserve">4</w:t>
            </w:r>
          </w:p>
        </w:tc>
        <w:tc>
          <w:tcPr/>
          <w:p>
            <w:pPr>
              <w:pStyle w:val="Compact"/>
              <w:jc w:val="left"/>
            </w:pPr>
            <w:r>
              <w:t xml:space="preserve">Identify problems</w:t>
            </w:r>
          </w:p>
        </w:tc>
        <w:tc>
          <w:tcPr/>
          <w:p>
            <w:pPr>
              <w:pStyle w:val="Compact"/>
              <w:jc w:val="left"/>
            </w:pPr>
            <w:r>
              <w:t xml:space="preserve">Names the nursing problems and orders them by priority</w:t>
            </w:r>
          </w:p>
        </w:tc>
        <w:tc>
          <w:tcPr/>
          <w:p>
            <w:pPr>
              <w:pStyle w:val="Compact"/>
              <w:jc w:val="left"/>
            </w:pPr>
            <w:r>
              <w:t xml:space="preserve">Interview</w:t>
            </w:r>
          </w:p>
        </w:tc>
      </w:tr>
      <w:tr>
        <w:tc>
          <w:tcPr/>
          <w:p>
            <w:pPr>
              <w:pStyle w:val="Compact"/>
              <w:jc w:val="left"/>
            </w:pPr>
            <w:r>
              <w:t xml:space="preserve">5</w:t>
            </w:r>
          </w:p>
        </w:tc>
        <w:tc>
          <w:tcPr/>
          <w:p>
            <w:pPr>
              <w:pStyle w:val="Compact"/>
              <w:jc w:val="left"/>
            </w:pPr>
            <w:r>
              <w:t xml:space="preserve">Establish goals</w:t>
            </w:r>
          </w:p>
        </w:tc>
        <w:tc>
          <w:tcPr/>
          <w:p>
            <w:pPr>
              <w:pStyle w:val="Compact"/>
              <w:jc w:val="left"/>
            </w:pPr>
            <w:r>
              <w:t xml:space="preserve">States specific, time-bound goals</w:t>
            </w:r>
          </w:p>
        </w:tc>
        <w:tc>
          <w:tcPr/>
          <w:p>
            <w:pPr>
              <w:pStyle w:val="Compact"/>
              <w:jc w:val="left"/>
            </w:pPr>
            <w:r>
              <w:t xml:space="preserve">Interview</w:t>
            </w:r>
          </w:p>
        </w:tc>
      </w:tr>
      <w:tr>
        <w:tc>
          <w:tcPr/>
          <w:p>
            <w:pPr>
              <w:pStyle w:val="Compact"/>
              <w:jc w:val="left"/>
            </w:pPr>
            <w:r>
              <w:t xml:space="preserve">6</w:t>
            </w:r>
          </w:p>
        </w:tc>
        <w:tc>
          <w:tcPr/>
          <w:p>
            <w:pPr>
              <w:pStyle w:val="Compact"/>
              <w:jc w:val="left"/>
            </w:pPr>
            <w:r>
              <w:t xml:space="preserve">Take action</w:t>
            </w:r>
          </w:p>
        </w:tc>
        <w:tc>
          <w:tcPr/>
          <w:p>
            <w:pPr>
              <w:pStyle w:val="Compact"/>
              <w:jc w:val="left"/>
            </w:pPr>
            <w:r>
              <w:t xml:space="preserve">Selects and performs priority actions safely and in sequence within scope; escalates at the right time using SBAR (capped at 2 if only stated when it could have been performed)</w:t>
            </w:r>
          </w:p>
        </w:tc>
        <w:tc>
          <w:tcPr/>
          <w:p>
            <w:pPr>
              <w:pStyle w:val="Compact"/>
              <w:jc w:val="left"/>
            </w:pPr>
            <w:r>
              <w:t xml:space="preserve">Observed + interview</w:t>
            </w:r>
          </w:p>
        </w:tc>
      </w:tr>
      <w:tr>
        <w:tc>
          <w:tcPr/>
          <w:p>
            <w:pPr>
              <w:pStyle w:val="Compact"/>
              <w:jc w:val="left"/>
            </w:pPr>
            <w:r>
              <w:t xml:space="preserve">7</w:t>
            </w:r>
          </w:p>
        </w:tc>
        <w:tc>
          <w:tcPr/>
          <w:p>
            <w:pPr>
              <w:pStyle w:val="Compact"/>
              <w:jc w:val="left"/>
            </w:pPr>
            <w:r>
              <w:t xml:space="preserve">Evaluate outcomes</w:t>
            </w:r>
          </w:p>
        </w:tc>
        <w:tc>
          <w:tcPr/>
          <w:p>
            <w:pPr>
              <w:pStyle w:val="Compact"/>
              <w:jc w:val="left"/>
            </w:pPr>
            <w:r>
              <w:t xml:space="preserve">Reassesses at appropriate intervals, judges effectiveness and modifies the plan</w:t>
            </w:r>
          </w:p>
        </w:tc>
        <w:tc>
          <w:tcPr/>
          <w:p>
            <w:pPr>
              <w:pStyle w:val="Compact"/>
              <w:jc w:val="left"/>
            </w:pPr>
            <w:r>
              <w:t xml:space="preserve">Observed + interview</w:t>
            </w:r>
          </w:p>
        </w:tc>
      </w:tr>
      <w:tr>
        <w:tc>
          <w:tcPr/>
          <w:p>
            <w:pPr>
              <w:pStyle w:val="Compact"/>
              <w:jc w:val="left"/>
            </w:pPr>
            <w:r>
              <w:t xml:space="preserve">8</w:t>
            </w:r>
          </w:p>
        </w:tc>
        <w:tc>
          <w:tcPr/>
          <w:p>
            <w:pPr>
              <w:pStyle w:val="Compact"/>
              <w:jc w:val="left"/>
            </w:pPr>
            <w:r>
              <w:t xml:space="preserve">Reflect</w:t>
            </w:r>
          </w:p>
        </w:tc>
        <w:tc>
          <w:tcPr/>
          <w:p>
            <w:pPr>
              <w:pStyle w:val="Compact"/>
              <w:jc w:val="left"/>
            </w:pPr>
            <w:r>
              <w:t xml:space="preserve">Identifies what would be done differently and what was learned</w:t>
            </w:r>
          </w:p>
        </w:tc>
        <w:tc>
          <w:tcPr/>
          <w:p>
            <w:pPr>
              <w:pStyle w:val="Compact"/>
              <w:jc w:val="left"/>
            </w:pPr>
            <w:r>
              <w:t xml:space="preserve">Interview</w:t>
            </w:r>
          </w:p>
        </w:tc>
      </w:tr>
    </w:tbl>
    <w:p>
      <w:pPr>
        <w:pStyle w:val="BodyText"/>
      </w:pPr>
      <w:r>
        <w:t xml:space="preserve">Case score 0–24; occasion score = mean of the two cases (0–24), averaged across two raters.</w:t>
      </w:r>
    </w:p>
    <w:p>
      <w:pPr>
        <w:pStyle w:val="BodyText"/>
      </w:pPr>
      <w:r>
        <w:rPr>
          <w:bCs/>
          <w:b/>
        </w:rPr>
        <w:t xml:space="preserve">Table S4.</w:t>
      </w:r>
      <w:r>
        <w:t xml:space="preserve"> </w:t>
      </w:r>
      <w:r>
        <w:t xml:space="preserve">PNNKT blueprint (40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Content domain (objective)</w:t>
            </w:r>
          </w:p>
        </w:tc>
        <w:tc>
          <w:tcPr/>
          <w:p>
            <w:pPr>
              <w:pStyle w:val="Compact"/>
              <w:jc w:val="left"/>
            </w:pPr>
            <w:r>
              <w:t xml:space="preserve">Items</w:t>
            </w:r>
          </w:p>
        </w:tc>
        <w:tc>
          <w:tcPr/>
          <w:p>
            <w:pPr>
              <w:pStyle w:val="Compact"/>
              <w:jc w:val="left"/>
            </w:pPr>
            <w:r>
              <w:t xml:space="preserve">Recall</w:t>
            </w:r>
          </w:p>
        </w:tc>
        <w:tc>
          <w:tcPr/>
          <w:p>
            <w:pPr>
              <w:pStyle w:val="Compact"/>
              <w:jc w:val="left"/>
            </w:pPr>
            <w:r>
              <w:t xml:space="preserve">Application/analysis</w:t>
            </w:r>
          </w:p>
        </w:tc>
      </w:tr>
      <w:tr>
        <w:tc>
          <w:tcPr/>
          <w:p>
            <w:pPr>
              <w:pStyle w:val="Compact"/>
              <w:jc w:val="left"/>
            </w:pPr>
            <w:r>
              <w:t xml:space="preserve">Pediatric neuroanatomy, mechanisms, primary versus secondary injury</w:t>
            </w:r>
          </w:p>
        </w:tc>
        <w:tc>
          <w:tcPr/>
          <w:p>
            <w:pPr>
              <w:pStyle w:val="Compact"/>
              <w:jc w:val="left"/>
            </w:pPr>
            <w:r>
              <w:t xml:space="preserve">6</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Age-appropriate neurological assessment and vital-sign norms (1)</w:t>
            </w:r>
          </w:p>
        </w:tc>
        <w:tc>
          <w:tcPr/>
          <w:p>
            <w:pPr>
              <w:pStyle w:val="Compact"/>
              <w:jc w:val="left"/>
            </w:pPr>
            <w:r>
              <w:t xml:space="preserve">8</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Recognising deterioration and raised intracranial pressure (2)</w:t>
            </w:r>
          </w:p>
        </w:tc>
        <w:tc>
          <w:tcPr/>
          <w:p>
            <w:pPr>
              <w:pStyle w:val="Compact"/>
              <w:jc w:val="left"/>
            </w:pPr>
            <w:r>
              <w:t xml:space="preserve">8</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Prioritising nursing problems and actions; preventing secondary injury (3, 4)</w:t>
            </w:r>
          </w:p>
        </w:tc>
        <w:tc>
          <w:tcPr/>
          <w:p>
            <w:pPr>
              <w:pStyle w:val="Compact"/>
              <w:jc w:val="left"/>
            </w:pPr>
            <w:r>
              <w:t xml:space="preserve">10</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Monitoring, evaluation and escalation (5)</w:t>
            </w:r>
          </w:p>
        </w:tc>
        <w:tc>
          <w:tcPr/>
          <w:p>
            <w:pPr>
              <w:pStyle w:val="Compact"/>
              <w:jc w:val="left"/>
            </w:pPr>
            <w:r>
              <w:t xml:space="preserve">4</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Family-centred care and discharge education (6)</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r>
      <w:tr>
        <w:tc>
          <w:tcPr/>
          <w:p>
            <w:pPr>
              <w:pStyle w:val="Compact"/>
              <w:jc w:val="left"/>
            </w:pPr>
            <w:r>
              <w:rPr>
                <w:bCs/>
                <w:b/>
              </w:rPr>
              <w:t xml:space="preserve">Total</w:t>
            </w:r>
          </w:p>
        </w:tc>
        <w:tc>
          <w:tcPr/>
          <w:p>
            <w:pPr>
              <w:pStyle w:val="Compact"/>
              <w:jc w:val="left"/>
            </w:pPr>
            <w:r>
              <w:rPr>
                <w:bCs/>
                <w:b/>
              </w:rPr>
              <w:t xml:space="preserve">40</w:t>
            </w:r>
          </w:p>
        </w:tc>
        <w:tc>
          <w:tcPr/>
          <w:p>
            <w:pPr>
              <w:pStyle w:val="Compact"/>
              <w:jc w:val="left"/>
            </w:pPr>
            <w:r>
              <w:rPr>
                <w:bCs/>
                <w:b/>
              </w:rPr>
              <w:t xml:space="preserve">12 (30%)</w:t>
            </w:r>
          </w:p>
        </w:tc>
        <w:tc>
          <w:tcPr/>
          <w:p>
            <w:pPr>
              <w:pStyle w:val="Compact"/>
              <w:jc w:val="left"/>
            </w:pPr>
            <w:r>
              <w:rPr>
                <w:bCs/>
                <w:b/>
              </w:rPr>
              <w:t xml:space="preserve">28 (70%)</w:t>
            </w:r>
          </w:p>
        </w:tc>
      </w:tr>
    </w:tbl>
    <w:p>
      <w:pPr>
        <w:pStyle w:val="BodyText"/>
      </w:pPr>
      <w:r>
        <w:rPr>
          <w:bCs/>
          <w:b/>
        </w:rPr>
        <w:t xml:space="preserve">Table S5.</w:t>
      </w:r>
      <w:r>
        <w:t xml:space="preserve"> </w:t>
      </w:r>
      <w:r>
        <w:t xml:space="preserve">PNPSC items, each scored 0 (not performed), 1 (incomplete or incorrect) or 2 (correct); range 0–30.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Performs hand hygiene and uses appropriate protective equipment</w:t>
            </w:r>
          </w:p>
        </w:tc>
      </w:tr>
      <w:tr>
        <w:tc>
          <w:tcPr/>
          <w:p>
            <w:pPr>
              <w:pStyle w:val="Compact"/>
              <w:jc w:val="left"/>
            </w:pPr>
            <w:r>
              <w:t xml:space="preserve">2</w:t>
            </w:r>
          </w:p>
        </w:tc>
        <w:tc>
          <w:tcPr/>
          <w:p>
            <w:pPr>
              <w:pStyle w:val="Compact"/>
              <w:jc w:val="left"/>
            </w:pPr>
            <w:r>
              <w:t xml:space="preserve">Identifies the child; introduces self; explains the procedure to child and parent in an age-appropriate way</w:t>
            </w:r>
          </w:p>
        </w:tc>
      </w:tr>
      <w:tr>
        <w:tc>
          <w:tcPr/>
          <w:p>
            <w:pPr>
              <w:pStyle w:val="Compact"/>
              <w:jc w:val="left"/>
            </w:pPr>
            <w:r>
              <w:t xml:space="preserve">3</w:t>
            </w:r>
          </w:p>
        </w:tc>
        <w:tc>
          <w:tcPr/>
          <w:p>
            <w:pPr>
              <w:pStyle w:val="Compact"/>
              <w:jc w:val="left"/>
            </w:pPr>
            <w:r>
              <w:t xml:space="preserve">Maintains cervical-spine alignment during handling, as instructed</w:t>
            </w:r>
          </w:p>
        </w:tc>
      </w:tr>
      <w:tr>
        <w:tc>
          <w:tcPr/>
          <w:p>
            <w:pPr>
              <w:pStyle w:val="Compact"/>
              <w:jc w:val="left"/>
            </w:pPr>
            <w:r>
              <w:t xml:space="preserve">4</w:t>
            </w:r>
          </w:p>
        </w:tc>
        <w:tc>
          <w:tcPr/>
          <w:p>
            <w:pPr>
              <w:pStyle w:val="Compact"/>
              <w:jc w:val="left"/>
            </w:pPr>
            <w:r>
              <w:t xml:space="preserve">Positions the head midline with the head of the bed at 30°, as instructed</w:t>
            </w:r>
          </w:p>
        </w:tc>
      </w:tr>
      <w:tr>
        <w:tc>
          <w:tcPr/>
          <w:p>
            <w:pPr>
              <w:pStyle w:val="Compact"/>
              <w:jc w:val="left"/>
            </w:pPr>
            <w:r>
              <w:t xml:space="preserve">5</w:t>
            </w:r>
          </w:p>
        </w:tc>
        <w:tc>
          <w:tcPr/>
          <w:p>
            <w:pPr>
              <w:pStyle w:val="Compact"/>
              <w:jc w:val="left"/>
            </w:pPr>
            <w:r>
              <w:t xml:space="preserve">Assesses eye opening using the correct stimulus sequence</w:t>
            </w:r>
          </w:p>
        </w:tc>
      </w:tr>
      <w:tr>
        <w:tc>
          <w:tcPr/>
          <w:p>
            <w:pPr>
              <w:pStyle w:val="Compact"/>
              <w:jc w:val="left"/>
            </w:pPr>
            <w:r>
              <w:t xml:space="preserve">6</w:t>
            </w:r>
          </w:p>
        </w:tc>
        <w:tc>
          <w:tcPr/>
          <w:p>
            <w:pPr>
              <w:pStyle w:val="Compact"/>
              <w:jc w:val="left"/>
            </w:pPr>
            <w:r>
              <w:t xml:space="preserve">Assesses verbal response using age-appropriate criteria (pediatric modification for preverbal children)</w:t>
            </w:r>
          </w:p>
        </w:tc>
      </w:tr>
      <w:tr>
        <w:tc>
          <w:tcPr/>
          <w:p>
            <w:pPr>
              <w:pStyle w:val="Compact"/>
              <w:jc w:val="left"/>
            </w:pPr>
            <w:r>
              <w:t xml:space="preserve">7</w:t>
            </w:r>
          </w:p>
        </w:tc>
        <w:tc>
          <w:tcPr/>
          <w:p>
            <w:pPr>
              <w:pStyle w:val="Compact"/>
              <w:jc w:val="left"/>
            </w:pPr>
            <w:r>
              <w:t xml:space="preserve">Assesses best motor response using the correct stimulus technique</w:t>
            </w:r>
          </w:p>
        </w:tc>
      </w:tr>
      <w:tr>
        <w:tc>
          <w:tcPr/>
          <w:p>
            <w:pPr>
              <w:pStyle w:val="Compact"/>
              <w:jc w:val="left"/>
            </w:pPr>
            <w:r>
              <w:t xml:space="preserve">8</w:t>
            </w:r>
          </w:p>
        </w:tc>
        <w:tc>
          <w:tcPr/>
          <w:p>
            <w:pPr>
              <w:pStyle w:val="Compact"/>
              <w:jc w:val="left"/>
            </w:pPr>
            <w:r>
              <w:t xml:space="preserve">Assesses pupils: size in mm with the gauge, equality and light reaction, each eye separately</w:t>
            </w:r>
          </w:p>
        </w:tc>
      </w:tr>
      <w:tr>
        <w:tc>
          <w:tcPr/>
          <w:p>
            <w:pPr>
              <w:pStyle w:val="Compact"/>
              <w:jc w:val="left"/>
            </w:pPr>
            <w:r>
              <w:t xml:space="preserve">9</w:t>
            </w:r>
          </w:p>
        </w:tc>
        <w:tc>
          <w:tcPr/>
          <w:p>
            <w:pPr>
              <w:pStyle w:val="Compact"/>
              <w:jc w:val="left"/>
            </w:pPr>
            <w:r>
              <w:t xml:space="preserve">Assesses limb movement and strength bilaterally</w:t>
            </w:r>
          </w:p>
        </w:tc>
      </w:tr>
      <w:tr>
        <w:tc>
          <w:tcPr/>
          <w:p>
            <w:pPr>
              <w:pStyle w:val="Compact"/>
              <w:jc w:val="left"/>
            </w:pPr>
            <w:r>
              <w:t xml:space="preserve">10</w:t>
            </w:r>
          </w:p>
        </w:tc>
        <w:tc>
          <w:tcPr/>
          <w:p>
            <w:pPr>
              <w:pStyle w:val="Compact"/>
              <w:jc w:val="left"/>
            </w:pPr>
            <w:r>
              <w:t xml:space="preserve">Measures heart rate and respiratory rate over 60 s and blood pressure with a correctly sized cuff</w:t>
            </w:r>
          </w:p>
        </w:tc>
      </w:tr>
      <w:tr>
        <w:tc>
          <w:tcPr/>
          <w:p>
            <w:pPr>
              <w:pStyle w:val="Compact"/>
              <w:jc w:val="left"/>
            </w:pPr>
            <w:r>
              <w:t xml:space="preserve">11</w:t>
            </w:r>
          </w:p>
        </w:tc>
        <w:tc>
          <w:tcPr/>
          <w:p>
            <w:pPr>
              <w:pStyle w:val="Compact"/>
              <w:jc w:val="left"/>
            </w:pPr>
            <w:r>
              <w:t xml:space="preserve">Measures oxygen saturation and temperature correctly</w:t>
            </w:r>
          </w:p>
        </w:tc>
      </w:tr>
      <w:tr>
        <w:tc>
          <w:tcPr/>
          <w:p>
            <w:pPr>
              <w:pStyle w:val="Compact"/>
              <w:jc w:val="left"/>
            </w:pPr>
            <w:r>
              <w:t xml:space="preserve">12</w:t>
            </w:r>
          </w:p>
        </w:tc>
        <w:tc>
          <w:tcPr/>
          <w:p>
            <w:pPr>
              <w:pStyle w:val="Compact"/>
              <w:jc w:val="left"/>
            </w:pPr>
            <w:r>
              <w:t xml:space="preserve">Applies oxygen with the instructed device and flow, correctly sized</w:t>
            </w:r>
          </w:p>
        </w:tc>
      </w:tr>
      <w:tr>
        <w:tc>
          <w:tcPr/>
          <w:p>
            <w:pPr>
              <w:pStyle w:val="Compact"/>
              <w:jc w:val="left"/>
            </w:pPr>
            <w:r>
              <w:t xml:space="preserve">13</w:t>
            </w:r>
          </w:p>
        </w:tc>
        <w:tc>
          <w:tcPr/>
          <w:p>
            <w:pPr>
              <w:pStyle w:val="Compact"/>
              <w:jc w:val="left"/>
            </w:pPr>
            <w:r>
              <w:t xml:space="preserve">Prepares a seizure-safe environment (padded rails, suction ready), as instructed</w:t>
            </w:r>
          </w:p>
        </w:tc>
      </w:tr>
      <w:tr>
        <w:tc>
          <w:tcPr/>
          <w:p>
            <w:pPr>
              <w:pStyle w:val="Compact"/>
              <w:jc w:val="left"/>
            </w:pPr>
            <w:r>
              <w:t xml:space="preserve">14</w:t>
            </w:r>
          </w:p>
        </w:tc>
        <w:tc>
          <w:tcPr/>
          <w:p>
            <w:pPr>
              <w:pStyle w:val="Compact"/>
              <w:jc w:val="left"/>
            </w:pPr>
            <w:r>
              <w:t xml:space="preserve">Documents all findings accurately on the neurological observation chart</w:t>
            </w:r>
          </w:p>
        </w:tc>
      </w:tr>
      <w:tr>
        <w:tc>
          <w:tcPr/>
          <w:p>
            <w:pPr>
              <w:pStyle w:val="Compact"/>
              <w:jc w:val="left"/>
            </w:pPr>
            <w:r>
              <w:t xml:space="preserve">15</w:t>
            </w:r>
          </w:p>
        </w:tc>
        <w:tc>
          <w:tcPr/>
          <w:p>
            <w:pPr>
              <w:pStyle w:val="Compact"/>
              <w:jc w:val="left"/>
            </w:pPr>
            <w:r>
              <w:t xml:space="preserve">Maintains comfort and communication with the child and parent throughout</w:t>
            </w:r>
          </w:p>
        </w:tc>
      </w:tr>
    </w:tbl>
    <w:bookmarkEnd w:id="36"/>
    <w:bookmarkStart w:id="37" w:name="supplementary-s3.-reporting-checklists"/>
    <w:p>
      <w:pPr>
        <w:pStyle w:val="Heading2"/>
      </w:pPr>
      <w:r>
        <w:t xml:space="preserve">Supplementary S3. Reporting checklists</w:t>
      </w:r>
    </w:p>
    <w:p>
      <w:pPr>
        <w:pStyle w:val="FirstParagraph"/>
      </w:pPr>
      <w:r>
        <w:t xml:space="preserve">Completed TREND and TIDieR checklists with manuscript page numbers; the simulation-research reporting items applied (Cheng et al., 2016); and the protocol deviation log, with dates and reasons.</w:t>
      </w:r>
    </w:p>
    <w:p>
      <w:r>
        <w:pict>
          <v:rect style="width:0;height:1.5pt" o:hralign="center" o:hrstd="t" o:hr="t"/>
        </w:pict>
      </w:r>
    </w:p>
    <w:bookmarkEnd w:id="37"/>
    <w:bookmarkEnd w:id="38"/>
    <w:bookmarkStart w:id="39" w:name="references"/>
    <w:p>
      <w:pPr>
        <w:pStyle w:val="Heading1"/>
      </w:pPr>
      <w:r>
        <w:t xml:space="preserve">References</w:t>
      </w:r>
    </w:p>
    <w:p>
      <w:pPr>
        <w:pStyle w:val="FirstParagraph"/>
      </w:pPr>
      <w:r>
        <w:t xml:space="preserve">Anderson, L.W., Krathwohl, D.R. (Eds.), 2001. A Taxonomy for Learning, Teaching, and Assessing: A Revision of Bloom’s Taxonomy of Educational Objectives. Longman, New York.</w:t>
      </w:r>
    </w:p>
    <w:p>
      <w:pPr>
        <w:pStyle w:val="BodyText"/>
      </w:pPr>
      <w:r>
        <w:t xml:space="preserve">Austin, P.C., 2009. Balance diagnostics for comparing the distribution of baseline covariates between treatment groups in propensity-score matched samples. Statistics in Medicine 28(25), 3083–3107. https://doi.org/10.1002/sim.3697</w:t>
      </w:r>
    </w:p>
    <w:p>
      <w:pPr>
        <w:pStyle w:val="BodyText"/>
      </w:pPr>
      <w:r>
        <w:t xml:space="preserve">Bayzat, C., Dinc, L., 2025. Turkish adaptation of the clinical reasoning evaluation simulation tool (CREST-TR): A validity and reliability study. BMC Nursing 24, 819. https://doi.org/10.1186/s12912-025-03503-0</w:t>
      </w:r>
    </w:p>
    <w:p>
      <w:pPr>
        <w:pStyle w:val="BodyText"/>
      </w:pPr>
      <w:r>
        <w:t xml:space="preserve">Beaton, D.E., Bombardier, C., Guillemin, F., Ferraz, M.B., 2000. Guidelines for the process of cross-cultural adaptation of self-report measures. Spine 25(24), 3186–3191. https://doi.org/10.1097/00007632-200012150-00014</w:t>
      </w:r>
    </w:p>
    <w:p>
      <w:pPr>
        <w:pStyle w:val="BodyText"/>
      </w:pPr>
      <w:r>
        <w:t xml:space="preserve">Borm, G.F., Fransen, J., Lemmens, W.A.J.G., 2007. A simple sample size formula for analysis of covariance in randomized clinical trials. Journal of Clinical Epidemiology 60(12), 1234–1238. https://doi.org/10.1016/j.jclinepi.2007.02.006</w:t>
      </w:r>
    </w:p>
    <w:p>
      <w:pPr>
        <w:pStyle w:val="BodyText"/>
      </w:pPr>
      <w:r>
        <w:t xml:space="preserve">Chan, et al., 2025. [Full reference as in the Introduction.]</w:t>
      </w:r>
    </w:p>
    <w:p>
      <w:pPr>
        <w:pStyle w:val="BodyText"/>
      </w:pPr>
      <w:r>
        <w:t xml:space="preserve">Cheng, A., et al., 2016. Reporting guidelines for health care simulation research: Extensions to the CONSORT and STROBE statements. Advances in Simulation 1, 25. https://doi.org/10.1186/s41077-016-0025-y</w:t>
      </w:r>
    </w:p>
    <w:p>
      <w:pPr>
        <w:pStyle w:val="BodyText"/>
      </w:pPr>
      <w:r>
        <w:t xml:space="preserve">Decker, S., et al., 2025. Healthcare Simulation Standards of Best Practice®: The debriefing process. Clinical Simulation in Nursing, 101775. https://doi.org/10.1016/j.ecns.2025.101775</w:t>
      </w:r>
    </w:p>
    <w:p>
      <w:pPr>
        <w:pStyle w:val="BodyText"/>
      </w:pPr>
      <w:r>
        <w:t xml:space="preserve">Des Jarlais, D.C., Lyles, C., Crepaz, N., TREND Group, 2004. Improving the reporting quality of nonrandomized evaluations of behavioral and public health interventions: The TREND statement. American Journal of Public Health 94(3), 361–366. https://doi.org/10.2105/AJPH.94.3.361</w:t>
      </w:r>
    </w:p>
    <w:p>
      <w:pPr>
        <w:pStyle w:val="BodyText"/>
      </w:pPr>
      <w:r>
        <w:t xml:space="preserve">Downing, S.M., 2004. Reliability: On the reproducibility of assessment data. Medical Education 38(9), 1006–1012.</w:t>
      </w:r>
    </w:p>
    <w:p>
      <w:pPr>
        <w:pStyle w:val="BodyText"/>
      </w:pPr>
      <w:r>
        <w:t xml:space="preserve">Eppich, W., Cheng, A., 2015. Promoting Excellence and Reflective Learning in Simulation (PEARLS): Development and rationale for a blended approach to health care simulation debriefing. Simulation in Healthcare 10(2), 106–115. https://doi.org/10.1097/SIH.0000000000000072</w:t>
      </w:r>
    </w:p>
    <w:p>
      <w:pPr>
        <w:pStyle w:val="BodyText"/>
      </w:pPr>
      <w:r>
        <w:t xml:space="preserve">Faul, F., Erdfelder, E., Lang, A.-G., Buchner, A., 2007. G*Power 3: A flexible statistical power analysis program for the social, behavioral, and biomedical sciences. Behavior Research Methods 39(2), 175–191. https://doi.org/10.3758/BF03193146</w:t>
      </w:r>
    </w:p>
    <w:p>
      <w:pPr>
        <w:pStyle w:val="BodyText"/>
      </w:pPr>
      <w:r>
        <w:t xml:space="preserve">Fiorella, L., Mayer, R.E., 2016. Eight ways to promote generative learning. Educational Psychology Review 28, 717–741. https://doi.org/10.1007/s10648-015-9348-9</w:t>
      </w:r>
    </w:p>
    <w:p>
      <w:pPr>
        <w:pStyle w:val="BodyText"/>
      </w:pPr>
      <w:r>
        <w:t xml:space="preserve">Haladyna, T.M., Downing, S.M., Rodriguez, M.C., 2002. A review of multiple-choice item-writing guidelines for classroom assessment. Applied Measurement in Education 15(3), 309–333. https://doi.org/10.1207/S15324818AME1503_5</w:t>
      </w:r>
    </w:p>
    <w:p>
      <w:pPr>
        <w:pStyle w:val="BodyText"/>
      </w:pPr>
      <w:r>
        <w:t xml:space="preserve">Hoffmann, T.C., et al., 2014. Better reporting of interventions: Template for intervention description and replication (TIDieR) checklist and guide. BMJ 348, g1687. https://doi.org/10.1136/bmj.g1687</w:t>
      </w:r>
    </w:p>
    <w:p>
      <w:pPr>
        <w:pStyle w:val="BodyText"/>
      </w:pPr>
      <w:r>
        <w:t xml:space="preserve">Holm, S., 1979. A simple sequentially rejective multiple test procedure. Scandinavian Journal of Statistics 6(2), 65–70.</w:t>
      </w:r>
    </w:p>
    <w:p>
      <w:pPr>
        <w:pStyle w:val="BodyText"/>
      </w:pPr>
      <w:r>
        <w:t xml:space="preserve">International Committee of Medical Journal Editors, 2025. Recommendations for the Conduct, Reporting, Editing, and Publication of Scholarly Work in Medical Journals: Clinical trial registration. https://www.icmje.org/recommendations/browse/publishing-and-editorial-issues/clinical-trial-registration.html</w:t>
      </w:r>
    </w:p>
    <w:p>
      <w:pPr>
        <w:pStyle w:val="BodyText"/>
      </w:pPr>
      <w:r>
        <w:t xml:space="preserve">Kenward, M.G., Roger, J.H., 1997. Small sample inference for fixed effects from restricted maximum likelihood. Biometrics 53(3), 983–997. https://doi.org/10.2307/2533558</w:t>
      </w:r>
    </w:p>
    <w:p>
      <w:pPr>
        <w:pStyle w:val="BodyText"/>
      </w:pPr>
      <w:r>
        <w:t xml:space="preserve">Kochanek, P.M., et al., 2019. Guidelines for the management of pediatric severe traumatic brain injury, third edition: Update of the Brain Trauma Foundation guidelines. Pediatric Critical Care Medicine 20(3S Suppl 1), S1–S82. https://doi.org/10.1097/PCC.0000000000001735</w:t>
      </w:r>
    </w:p>
    <w:p>
      <w:pPr>
        <w:pStyle w:val="BodyText"/>
      </w:pPr>
      <w:r>
        <w:t xml:space="preserve">Koo, T.K., Li, M.Y., 2016. A guideline of selecting and reporting intraclass correlation coefficients for reliability research. Journal of Chiropractic Medicine 15(2), 155–163. https://doi.org/10.1016/j.jcm.2016.02.012</w:t>
      </w:r>
    </w:p>
    <w:p>
      <w:pPr>
        <w:pStyle w:val="BodyText"/>
      </w:pPr>
      <w:r>
        <w:t xml:space="preserve">Kuder, G.F., Richardson, M.W., 1937. The theory of the estimation of test reliability. Psychometrika 2(3), 151–160. https://doi.org/10.1007/BF02288391</w:t>
      </w:r>
    </w:p>
    <w:p>
      <w:pPr>
        <w:pStyle w:val="BodyText"/>
      </w:pPr>
      <w:r>
        <w:t xml:space="preserve">Levett-Jones, T., et al., 2010. The</w:t>
      </w:r>
      <w:r>
        <w:t xml:space="preserve"> </w:t>
      </w:r>
      <w:r>
        <w:t xml:space="preserve">‘</w:t>
      </w:r>
      <w:r>
        <w:t xml:space="preserve">five rights</w:t>
      </w:r>
      <w:r>
        <w:t xml:space="preserve">’</w:t>
      </w:r>
      <w:r>
        <w:t xml:space="preserve"> </w:t>
      </w:r>
      <w:r>
        <w:t xml:space="preserve">of clinical reasoning: An educational model to enhance nursing students’ ability to identify and manage clinically</w:t>
      </w:r>
      <w:r>
        <w:t xml:space="preserve"> </w:t>
      </w:r>
      <w:r>
        <w:t xml:space="preserve">‘</w:t>
      </w:r>
      <w:r>
        <w:t xml:space="preserve">at risk</w:t>
      </w:r>
      <w:r>
        <w:t xml:space="preserve">’</w:t>
      </w:r>
      <w:r>
        <w:t xml:space="preserve"> </w:t>
      </w:r>
      <w:r>
        <w:t xml:space="preserve">patients. Nurse Education Today 30(6), 515–520. https://doi.org/10.1016/j.nedt.2009.10.020</w:t>
      </w:r>
    </w:p>
    <w:p>
      <w:pPr>
        <w:pStyle w:val="BodyText"/>
      </w:pPr>
      <w:r>
        <w:t xml:space="preserve">Liaw, S.Y., et al., 2018. Development and psychometric testing of a Clinical Reasoning Evaluation Simulation Tool (CREST) for assessing nursing students’ abilities to recognize and respond to clinical deterioration. Nurse Education Today 62, 74–79. https://doi.org/10.1016/j.nedt.2017.12.009</w:t>
      </w:r>
    </w:p>
    <w:p>
      <w:pPr>
        <w:pStyle w:val="BodyText"/>
      </w:pPr>
      <w:r>
        <w:t xml:space="preserve">Lynn, M.R., 1986. Determination and quantification of content validity. Nursing Research 35(6), 382–385. https://doi.org/10.1097/00006199-198611000-00017</w:t>
      </w:r>
    </w:p>
    <w:p>
      <w:pPr>
        <w:pStyle w:val="BodyText"/>
      </w:pPr>
      <w:r>
        <w:t xml:space="preserve">National Institute for Health and Care Excellence, 2023. Head injury: Assessment and early management (NICE guideline NG232). NICE, London. https://www.nice.org.uk/guidance/ng232</w:t>
      </w:r>
    </w:p>
    <w:p>
      <w:pPr>
        <w:pStyle w:val="BodyText"/>
      </w:pPr>
      <w:r>
        <w:t xml:space="preserve">Norman, G.R., Sloan, J.A., Wyrwich, K.W., 2003. Interpretation of changes in health-related quality of life: The remarkable universality of half a standard deviation. Medical Care 41(5), 582–592. https://doi.org/10.1097/01.MLR.0000062554.74615.4C</w:t>
      </w:r>
    </w:p>
    <w:p>
      <w:pPr>
        <w:pStyle w:val="BodyText"/>
      </w:pPr>
      <w:r>
        <w:t xml:space="preserve">Persico, L., et al., 2025. Healthcare Simulation Standard of Best Practice®: Prebriefing: Preparation and briefing. Clinical Simulation in Nursing, 101777. https://doi.org/10.1016/j.ecns.2025.101777</w:t>
      </w:r>
    </w:p>
    <w:p>
      <w:pPr>
        <w:pStyle w:val="BodyText"/>
      </w:pPr>
      <w:r>
        <w:t xml:space="preserve">Polit, D.F., Beck, C.T., Owen, S.V., 2007. Is the CVI an acceptable indicator of content validity? Appraisal and recommendations. Research in Nursing &amp; Health 30(4), 459–467. https://doi.org/10.1002/nur.20199</w:t>
      </w:r>
    </w:p>
    <w:p>
      <w:pPr>
        <w:pStyle w:val="BodyText"/>
      </w:pPr>
      <w:r>
        <w:t xml:space="preserve">Pustejovsky, J.E., Tipton, E., 2018. Small-sample methods for cluster-robust variance estimation and hypothesis testing in fixed effects models. Journal of Business &amp; Economic Statistics 36(4), 672–683. https://doi.org/10.1080/07350015.2016.1247004</w:t>
      </w:r>
    </w:p>
    <w:p>
      <w:pPr>
        <w:pStyle w:val="BodyText"/>
      </w:pPr>
      <w:r>
        <w:t xml:space="preserve">R Core Team, [2025]. R: A Language and Environment for Statistical Computing. R Foundation for Statistical Computing, Vienna. https://www.R-project.org/</w:t>
      </w:r>
    </w:p>
    <w:p>
      <w:pPr>
        <w:pStyle w:val="BodyText"/>
      </w:pPr>
      <w:r>
        <w:t xml:space="preserve">Sterne, J.A.C., White, I.R., Carlin, J.B., Spratt, M., Royston, P., Kenward, M.G., Wood, A.M., Carpenter, J.R., 2009. Multiple imputation for missing data in epidemiological and clinical research: Potential and pitfalls. BMJ 338, b2393. https://doi.org/10.1136/bmj.b2393</w:t>
      </w:r>
    </w:p>
    <w:p>
      <w:pPr>
        <w:pStyle w:val="BodyText"/>
      </w:pPr>
      <w:r>
        <w:t xml:space="preserve">Tennant, P.W.G., Arnold, K.F., Ellison, G.T.H., Gilthorpe, M.S., 2022. Analyses of</w:t>
      </w:r>
      <w:r>
        <w:t xml:space="preserve"> </w:t>
      </w:r>
      <w:r>
        <w:t xml:space="preserve">‘</w:t>
      </w:r>
      <w:r>
        <w:t xml:space="preserve">change scores</w:t>
      </w:r>
      <w:r>
        <w:t xml:space="preserve">’</w:t>
      </w:r>
      <w:r>
        <w:t xml:space="preserve"> </w:t>
      </w:r>
      <w:r>
        <w:t xml:space="preserve">do not estimate causal effects in observational data. International Journal of Epidemiology 51(5), 1604–1615. https://doi.org/10.1093/ije/dyab050</w:t>
      </w:r>
    </w:p>
    <w:p>
      <w:pPr>
        <w:pStyle w:val="BodyText"/>
      </w:pPr>
      <w:r>
        <w:t xml:space="preserve">Vickers, A.J., Altman, D.G., 2001. Analysing controlled trials with baseline and follow up measurements. BMJ 323(7321), 1123–1124. https://doi.org/10.1136/bmj.323.7321.1123</w:t>
      </w:r>
    </w:p>
    <w:p>
      <w:pPr>
        <w:pStyle w:val="BodyText"/>
      </w:pPr>
      <w:r>
        <w:t xml:space="preserve">Watts, P.I., et al., 2021. Healthcare Simulation Standards of Best Practice™: Simulation design. Clinical Simulation in Nursing 58, 14–21. https://doi.org/10.1016/j.ecns.2021.08.009</w:t>
      </w:r>
    </w:p>
    <w:p>
      <w:pPr>
        <w:pStyle w:val="BodyText"/>
      </w:pPr>
      <w:r>
        <w:t xml:space="preserve">White, I.R., Royston, P., Wood, A.M., 2011. Multiple imputation using chained equations: Issues and guidance for practice. Statistics in Medicine 30(4), 377–399. https://doi.org/10.1002/sim.4067</w:t>
      </w:r>
    </w:p>
    <w:p>
      <w:pPr>
        <w:pStyle w:val="BodyText"/>
      </w:pPr>
      <w:r>
        <w:t xml:space="preserve">World Medical Association, 2025. World Medical Association Declaration of Helsinki: Ethical principles for medical research involving human participants. JAMA 333(1), 71–74. https://doi.org/10.1001/jama.2024.21972</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 AI-Generated Versus Student-Generated Mind Maps for Clinical Reasoning in Pediatric Neurotrauma Nursing Education</dc:title>
  <dc:creator/>
  <cp:keywords/>
  <dcterms:created xsi:type="dcterms:W3CDTF">2026-10-09T21:15:00Z</dcterms:created>
  <dcterms:modified xsi:type="dcterms:W3CDTF">2026-10-09T21:15:00Z</dcterms:modified>
</cp:coreProperties>
</file>

<file path=docProps/custom.xml><?xml version="1.0" encoding="utf-8"?>
<Properties xmlns="http://schemas.openxmlformats.org/officeDocument/2006/custom-properties" xmlns:vt="http://schemas.openxmlformats.org/officeDocument/2006/docPropsVTypes"/>
</file>