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869d21b5de9e37cc68b9c5cc25ab88741c0cb3"/>
    <w:p>
      <w:pPr>
        <w:pStyle w:val="Heading1"/>
      </w:pPr>
      <w:r>
        <w:t xml:space="preserve">How each review concern is resolved in the revised Methods</w:t>
      </w:r>
    </w:p>
    <w:p>
      <w:pPr>
        <w:pStyle w:val="FirstParagraph"/>
      </w:pPr>
      <w:r>
        <w:t xml:space="preserve">Codes match the earlier review: A = internal contradictions, B = methodological concerns, C = missing information, D = reporting and editorial.</w:t>
      </w:r>
      <w:r>
        <w:t xml:space="preserve"> </w:t>
      </w:r>
      <w:r>
        <w:t xml:space="preserve">“</w:t>
      </w:r>
      <w:r>
        <w:t xml:space="preserve">§</w:t>
      </w:r>
      <w:r>
        <w:t xml:space="preserve">”</w:t>
      </w:r>
      <w:r>
        <w:t xml:space="preserve"> </w:t>
      </w:r>
      <w:r>
        <w:t xml:space="preserve">refers to sections of</w:t>
      </w:r>
      <w:r>
        <w:t xml:space="preserve"> </w:t>
      </w:r>
      <w:r>
        <w:rPr>
          <w:rStyle w:val="VerbatimChar"/>
        </w:rPr>
        <w:t xml:space="preserve">Methods_revised.md</w:t>
      </w:r>
      <w:r>
        <w:t xml:space="preserve">.</w:t>
      </w:r>
    </w:p>
    <w:bookmarkStart w:id="20" w:name="a.-internal-contradictions"/>
    <w:p>
      <w:pPr>
        <w:pStyle w:val="Heading2"/>
      </w:pPr>
      <w:r>
        <w:t xml:space="preserve">A. Internal contradictions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2 says one rater; text says three raters plus a fourth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four raters throughout: R1–R3 score all recordings (allocated at random, stratified by arm × occasion × case); R4 second-rates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§2.16, Table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Isolates map source</w:t>
            </w:r>
            <w:r>
              <w:t xml:space="preserve">”</w:t>
            </w:r>
            <w:r>
              <w:t xml:space="preserve"> </w:t>
            </w:r>
            <w:r>
              <w:t xml:space="preserve">contradicts the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Scope-of-inference paragraph states the comparison is between strategies, not of AI per se; the AI contribution is assessed in the materials substudy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§2.1, §2.8.4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Post-test dates 24–30 Mar vs 24 Mar – 1 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timeline: 29 Mar – 7 Apr (simulation); 8 Apr (knowledge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1, §2.14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weeks, 15 Feb – 15 Mar window, and 9–22-day interval do not fit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0 is 15–17 Feb; sessions in weeks of 22 Feb, 1 Mar, 8 Mar and 15 Mar; interval 12–23 days, derived from dates and balanced across arms by the prespecified round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1, §2.5, §2.14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started the same day assessment 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Rater training 12–13 Apr; rating 14 Apr – 30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1, §2.16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of consent and allocation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closes 29 Jan → baseline → nonrandom allocation by prespecified rule on 12 Feb; students consent without knowing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§2.4, 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taught headings vs eight rubric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headings taught in all arms, including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cues vs scripted responses; scoring of 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Semi-responsive design defined; item 7 scored from observed reassessment plus stated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figures do not follow from the stated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Recomputed with noncentral t (8 df), small-group clustering, ANCOVA and 10% attrition; minimal detectable effect reported across ICCs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Covariate lists inconsistent; form × arm</w:t>
            </w:r>
            <w:r>
              <w:t xml:space="preserve"> </w:t>
            </w:r>
            <w:r>
              <w:t xml:space="preserve">“</w:t>
            </w:r>
            <w:r>
              <w:t xml:space="preserve">prespecified</w:t>
            </w:r>
            <w:r>
              <w:t xml:space="preserve">”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w:r>
              <w:t xml:space="preserve">“</w:t>
            </w:r>
            <w:r>
              <w:t xml:space="preserve">exploratory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prespecified model; interval moved to sensitivity analysis; parallel forms replaced by a randomized case bank (case as random effect)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§2.18.4, §2.18.8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Map-construction guide mentioned only under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 of matched length for all three arms, introduced at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§2.7, Table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definition differs between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definition (orientation plus at least 3 of 4 sessions), used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§2.9, §2.18.8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Fidelity sample</w:t>
            </w:r>
            <w:r>
              <w:t xml:space="preserve"> </w:t>
            </w:r>
            <w:r>
              <w:t xml:space="preserve">“</w:t>
            </w:r>
            <w:r>
              <w:t xml:space="preserve">5–6 sessions</w:t>
            </w:r>
            <w:r>
              <w:t xml:space="preserve">”</w:t>
            </w:r>
            <w:r>
              <w:t xml:space="preserve"> </w:t>
            </w:r>
            <w:r>
              <w:t xml:space="preserve">≠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of 25 sessions per arm (32%), stratified by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I-CVI values misstated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experts; criterion stated as at least 7 of 8 rating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~80% power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underpowered at 90%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precision statement (84% at planning ICC, plus a table across ICCs)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 / AI-assisted terminology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AI-assisted map</w:t>
            </w:r>
            <w:r>
              <w:t xml:space="preserve">”</w:t>
            </w:r>
            <w:r>
              <w:t xml:space="preserve"> </w:t>
            </w:r>
            <w:r>
              <w:t xml:space="preserve">used throughout; new title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§2.1</w:t>
            </w:r>
          </w:p>
        </w:tc>
      </w:tr>
    </w:tbl>
    <w:bookmarkEnd w:id="20"/>
    <w:bookmarkStart w:id="21" w:name="b.-methodological-concerns"/>
    <w:p>
      <w:pPr>
        <w:pStyle w:val="Heading2"/>
      </w:pPr>
      <w:r>
        <w:t xml:space="preserve">B. Methodological concerns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 nonrandom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remains quasi-experimental. Allocation now follows a prespecified, deterministic rule applied by an independent methodologist after consent and baseline: facilitators crossed with arms, eligibility constraints, then selection of the best-balanced allocation on five prognostic factors. The rationale for not randomizing is stated, and threats are mapped to ROBINS-I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§2.1, 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Facilitator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Arm-specific guides only; explicit rules; audio coding for cross-arm content; sensitivity analysis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§2.10–2.12, §2.18.8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order cannot be 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constraint: each arm taught first/second/third by 1–2 facilitators; position added in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§2.5, §2.18.8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AI-map content aligned with scoring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cases written by a separate subgroup, never shown to teaching staff; node-origin reporting; materials substudy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§2.7, §2.8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Student-map ≈ 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Cross-links required in map arms and absent in worksheets; verified from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§2.9, §2.12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 and allegiance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Facilitator expectation survey; acceptability measured; worksheet framed honestly as an active comparator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§2.4, §2.12, 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Usual teaching</w:t>
            </w:r>
            <w:r>
              <w:t xml:space="preserve">”</w:t>
            </w:r>
            <w:r>
              <w:t xml:space="preserve"> </w:t>
            </w: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active comparator, with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Co-interventions (placements, lectures)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clinical exposure log; contamination questionnaire; S3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§2.11, §2.18.8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and item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8-case randomized bank; section-level sequestration; confidentiality pledge; knowledge test sat by the whole cohort at once with parallel forms; prior-knowledge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§2.13, §2.14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knowledge items twice; 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equated forms, counterbalanced; separate cohort sitting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assessors not truly 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Pre-recorded tablet prompts with non-interacting proctors; staff guesses collected; blinding indices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§2.6, §2.13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Manikin–age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Infant/toddler and child manikins in every room; simulated ages limited to 6 months – 8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§2.3, §2.13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instrument unvalidated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validity argument: independent panel, response process, generalizability study, CFA, LCJR convergence, known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§2.15, Table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Problems with the rubric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not demonstrated; safety errors separate (capping item 6); time windows in keys; evidence source specified for each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of one case vs two-case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analysis defined on the occasion score; analysis at case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§2.17, §2.18.4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effects and baseline-SD effect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uses total variance; tobit sensitivity analysis if more than 15% at floor or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§2.18.6, §2.18.8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cluster-level degrees of freedom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 of freedom stated (8); only individual-level covariates, apart from the stratification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§2.17, §2.18.4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Covariate selection (Altman, 1991)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Confounders prespecified from a causal diagram; standardized mean differences, not p-values; adjustment not changed after looking at balance; identification assumptions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§2.18.2, §2.18.4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Kenward–Roger plus wild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framework: Kenward–Roger with parametric bootstrap for d_T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§2.18.6, §2.18.8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Missing-data plan (MCAR test, 5%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likelihood, multilevel MI, tipping-point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Bang’s index designed for two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James’ index overall plus Bang’s index for each arm vs the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 statistician vs Dunnett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pairwise contrasts estimated masked; key held by data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TOST underpowered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Parallel-form assumption removed (case as random effect; equated knowledge forms)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lme4 lacks Kenward–Roger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 listed (lmerTest, pbkrtest, emmeans, jomo, lavaan, gtheory, irr)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Fleiss’ kappa with</w:t>
            </w:r>
            <w:r>
              <w:t xml:space="preserve"> </w:t>
            </w:r>
            <w:r>
              <w:t xml:space="preserve">“</w:t>
            </w:r>
            <w:r>
              <w:t xml:space="preserve">add</w:t>
            </w:r>
            <w:r>
              <w:t xml:space="preserve">”</w:t>
            </w:r>
            <w:r>
              <w:t xml:space="preserve"> </w:t>
            </w:r>
            <w:r>
              <w:t xml:space="preserve">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Kappa on retain/modify/delete only; additions reported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check by self-re-scoring; subgroup by AI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benchmark recordings with recalibration rule; subgroup analyses grounded in theory (H3)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§2.16, §2.18.9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and unmeasured confounding (nonrandom allocation)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Doubly robust overlap-weighted analysis (S7), negative-control outcome (S8), E-values (S9)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§2.18.8</w:t>
            </w:r>
          </w:p>
        </w:tc>
      </w:tr>
    </w:tbl>
    <w:bookmarkEnd w:id="21"/>
    <w:bookmarkStart w:id="22" w:name="c.-missing-information"/>
    <w:p>
      <w:pPr>
        <w:pStyle w:val="Heading2"/>
      </w:pPr>
      <w:r>
        <w:t xml:space="preserve">C. Missing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 registration on 20 Dec 2025; SAP versions; deviations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assignment within section, counterbalanced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of small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Formed by course coordinator before term; constant 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safeguards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§2.14 in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of skills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dedicated skills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§2.3, §2.14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physician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trained, scripted, 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of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audio, Arabic on-screen text; response in either language; language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§2.13, §2.15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Knowledge-test psychometrics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of 96-item bank; retention criteria; KR-20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§2.13, §2.15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of validation and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 and §2.15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Manipulation and engagement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quality, cross-links, cognitive load, LMS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and access details; tie-breaking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Interface, dates, temporary chats, selection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is a map no longer</w:t>
            </w:r>
            <w:r>
              <w:t xml:space="preserve"> </w:t>
            </w:r>
            <w:r>
              <w:t xml:space="preserve">“</w:t>
            </w:r>
            <w:r>
              <w:t xml:space="preserve">AI-generated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Node-origin reporting for every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 flow for sections and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consent and rater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consent options; access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§2.4, §2.19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Ramadan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Ramadan hours; staggered starts; assessments after 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§2.9, §2.20</w:t>
            </w:r>
          </w:p>
        </w:tc>
      </w:tr>
    </w:tbl>
    <w:bookmarkEnd w:id="22"/>
    <w:bookmarkStart w:id="23" w:name="d.-reporting-and-editorial"/>
    <w:p>
      <w:pPr>
        <w:pStyle w:val="Heading2"/>
      </w:pPr>
      <w:r>
        <w:t xml:space="preserve">D. Reporting and editorial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reported in the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(consent rate, CVI values, pilot ICCs, drift ICCs, interaction results); criteria stated instead, results pointed to Results or Supplement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 inside the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Removed; move to Discussion (see chat summary)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as an eligibility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citations (Hattie; K–12 ICCs)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important difference set by expert panel; ICC assumptions justified, with sensitivity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British and American spelling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English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active roles; weekday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active run per session (4 in total); all dates checked against the Sunday–Thursday working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directional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Competing hypotheses from generative learning theory and the worked-example/expertise-reversal effects; moderation hypothesis H3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2026-10-09T22:17:49Z</dcterms:created>
  <dcterms:modified xsi:type="dcterms:W3CDTF">2026-10-09T22:17:49Z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