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w:t>
      </w:r>
      <w:r>
        <w:t xml:space="preserve"> </w:t>
      </w:r>
      <w:r>
        <w:t xml:space="preserve">Methods</w:t>
      </w:r>
      <w:r>
        <w:t xml:space="preserve"> </w:t>
      </w:r>
      <w:r>
        <w:t xml:space="preserve">(revised)</w:t>
      </w:r>
    </w:p>
    <w:p>
      <w:pPr>
        <w:pStyle w:val="Subtitle"/>
      </w:pPr>
      <w:r>
        <w:t xml:space="preserve">AI-Assisted</w:t>
      </w:r>
      <w:r>
        <w:t xml:space="preserve"> </w:t>
      </w:r>
      <w:r>
        <w:t xml:space="preserve">Versus</w:t>
      </w:r>
      <w:r>
        <w:t xml:space="preserve"> </w:t>
      </w:r>
      <w:r>
        <w:t xml:space="preserve">Student-Generated</w:t>
      </w:r>
      <w:r>
        <w:t xml:space="preserve"> </w:t>
      </w:r>
      <w:r>
        <w:t xml:space="preserve">Mind</w:t>
      </w:r>
      <w:r>
        <w:t xml:space="preserve"> </w:t>
      </w:r>
      <w:r>
        <w:t xml:space="preserve">Maps</w:t>
      </w:r>
      <w:r>
        <w:t xml:space="preserve"> </w:t>
      </w:r>
      <w:r>
        <w:t xml:space="preserve">for</w:t>
      </w:r>
      <w:r>
        <w:t xml:space="preserve"> </w:t>
      </w:r>
      <w:r>
        <w:t xml:space="preserve">Clinical</w:t>
      </w:r>
      <w:r>
        <w:t xml:space="preserve"> </w:t>
      </w:r>
      <w:r>
        <w:t xml:space="preserve">Reasoning</w:t>
      </w:r>
      <w:r>
        <w:t xml:space="preserve"> </w:t>
      </w:r>
      <w:r>
        <w:t xml:space="preserve">in</w:t>
      </w:r>
      <w:r>
        <w:t xml:space="preserve"> </w:t>
      </w:r>
      <w:r>
        <w:t xml:space="preserve">Pediatric</w:t>
      </w:r>
      <w:r>
        <w:t xml:space="preserve"> </w:t>
      </w:r>
      <w:r>
        <w:t xml:space="preserve">Neurotrauma</w:t>
      </w:r>
      <w:r>
        <w:t xml:space="preserve"> </w:t>
      </w:r>
      <w:r>
        <w:t xml:space="preserve">Nursing</w:t>
      </w:r>
      <w:r>
        <w:t xml:space="preserve"> </w:t>
      </w:r>
      <w:r>
        <w:t xml:space="preserve">Education:</w:t>
      </w:r>
      <w:r>
        <w:t xml:space="preserve"> </w:t>
      </w:r>
      <w:r>
        <w:t xml:space="preserve">A</w:t>
      </w:r>
      <w:r>
        <w:t xml:space="preserve"> </w:t>
      </w:r>
      <w:r>
        <w:t xml:space="preserve">Three-Arm</w:t>
      </w:r>
      <w:r>
        <w:t xml:space="preserve"> </w:t>
      </w:r>
      <w:r>
        <w:t xml:space="preserve">Quasi-Experimental</w:t>
      </w:r>
      <w:r>
        <w:t xml:space="preserve"> </w:t>
      </w:r>
      <w:r>
        <w:t xml:space="preserve">Study</w:t>
      </w:r>
    </w:p>
    <w:bookmarkStart w:id="56" w:name="methods"/>
    <w:p>
      <w:pPr>
        <w:pStyle w:val="Heading1"/>
      </w:pPr>
      <w:r>
        <w:t xml:space="preserve">2. Methods</w:t>
      </w:r>
    </w:p>
    <w:bookmarkStart w:id="20" w:name="study-design-registration-and-reporting"/>
    <w:p>
      <w:pPr>
        <w:pStyle w:val="Heading2"/>
      </w:pPr>
      <w:r>
        <w:t xml:space="preserve">2.1. Study Design, Registration, and Reporting</w:t>
      </w:r>
    </w:p>
    <w:p>
      <w:pPr>
        <w:pStyle w:val="FirstParagraph"/>
      </w:pPr>
      <w:r>
        <w:t xml:space="preserve">This was a three-arm, concurrent, controlled quasi-experimental study with baseline and post-instruction assessments. Allocation was nonrandom and by intact cluster (a cluster nonrandomized controlled design). The study was conducted in one cohort of third-year nursing students at a single faculty of nursing. Intact laboratory sections were the unit of allocation, small groups within sections were the unit of teaching, and individual students were the unit of outcome measurement. The study compared three instructional strategies:</w:t>
      </w:r>
    </w:p>
    <w:p>
      <w:pPr>
        <w:numPr>
          <w:ilvl w:val="0"/>
          <w:numId w:val="1001"/>
        </w:numPr>
        <w:pStyle w:val="Compact"/>
      </w:pPr>
      <w:r>
        <w:t xml:space="preserve">clinically reviewed, AI-assisted mind maps that students examined, annotated, revised, and applied (AI-assisted map arm);</w:t>
      </w:r>
    </w:p>
    <w:p>
      <w:pPr>
        <w:numPr>
          <w:ilvl w:val="0"/>
          <w:numId w:val="1001"/>
        </w:numPr>
        <w:pStyle w:val="Compact"/>
      </w:pPr>
      <w:r>
        <w:t xml:space="preserve">mind maps that students constructed themselves (student-map arm); and</w:t>
      </w:r>
    </w:p>
    <w:p>
      <w:pPr>
        <w:numPr>
          <w:ilvl w:val="0"/>
          <w:numId w:val="1001"/>
        </w:numPr>
        <w:pStyle w:val="Compact"/>
      </w:pPr>
      <w:r>
        <w:t xml:space="preserve">structured case-analysis worksheets without mind maps (worksheet arm, active comparator).</w:t>
      </w:r>
    </w:p>
    <w:p>
      <w:pPr>
        <w:pStyle w:val="FirstParagraph"/>
      </w:pPr>
      <w:r>
        <w:t xml:space="preserve">All arms were delivered within one flipped-classroom framework. They shared the same pre-class materials, contact time, teaching cases, simulation practice, debriefing method, and facilitator feedback criteria.</w:t>
      </w:r>
    </w:p>
    <w:p>
      <w:pPr>
        <w:pStyle w:val="BodyText"/>
      </w:pPr>
      <w:r>
        <w:rPr>
          <w:bCs/>
          <w:b/>
        </w:rPr>
        <w:t xml:space="preserve">Why a quasi-experimental design.</w:t>
      </w:r>
      <w:r>
        <w:t xml:space="preserve"> </w:t>
      </w:r>
      <w:r>
        <w:t xml:space="preserve">Pediatric laboratory teaching is timetabled by section, and students cannot be moved between sections without disrupting the timetable and risking contamination within sections. The faculty’s curriculum committee approved allocation of whole sections by a transparent, prespecified rule that could be explained to students and staff, but did not approve chance-based allocation of compulsory teaching. A nonrandomized design with concurrent controls was therefore used.</w:t>
      </w:r>
    </w:p>
    <w:p>
      <w:pPr>
        <w:pStyle w:val="BodyText"/>
      </w:pPr>
      <w:r>
        <w:t xml:space="preserve">Because allocation was nonrandom, the study was designed against the main threats to internal validity of quasi-experimental designs (Shadish et al., 2002) and the bias domains of ROBINS-I (Sterne et al., 2016):</w:t>
      </w:r>
    </w:p>
    <w:p>
      <w:pPr>
        <w:numPr>
          <w:ilvl w:val="0"/>
          <w:numId w:val="1002"/>
        </w:numPr>
        <w:pStyle w:val="Compact"/>
      </w:pPr>
      <w:r>
        <w:t xml:space="preserve">a prespecified, deterministic allocation rule applied by a person independent of the study, after consent and baseline assessment (Section 2.5);</w:t>
      </w:r>
    </w:p>
    <w:p>
      <w:pPr>
        <w:numPr>
          <w:ilvl w:val="0"/>
          <w:numId w:val="1002"/>
        </w:numPr>
        <w:pStyle w:val="Compact"/>
      </w:pPr>
      <w:r>
        <w:t xml:space="preserve">facilitators crossed with arms, so instructor effects cannot be confounded with arm;</w:t>
      </w:r>
    </w:p>
    <w:p>
      <w:pPr>
        <w:numPr>
          <w:ilvl w:val="0"/>
          <w:numId w:val="1002"/>
        </w:numPr>
        <w:pStyle w:val="Compact"/>
      </w:pPr>
      <w:r>
        <w:t xml:space="preserve">allocation chosen to give the best available balance on measured prognostic factors;</w:t>
      </w:r>
    </w:p>
    <w:p>
      <w:pPr>
        <w:numPr>
          <w:ilvl w:val="0"/>
          <w:numId w:val="1002"/>
        </w:numPr>
        <w:pStyle w:val="Compact"/>
      </w:pPr>
      <w:r>
        <w:t xml:space="preserve">concurrent comparison groups taught in the same weeks, with a baseline measure of every outcome;</w:t>
      </w:r>
    </w:p>
    <w:p>
      <w:pPr>
        <w:numPr>
          <w:ilvl w:val="0"/>
          <w:numId w:val="1002"/>
        </w:numPr>
        <w:pStyle w:val="Compact"/>
      </w:pPr>
      <w:r>
        <w:t xml:space="preserve">outcome raters masked to arm and assessment occasion (Section 2.6);</w:t>
      </w:r>
    </w:p>
    <w:p>
      <w:pPr>
        <w:numPr>
          <w:ilvl w:val="0"/>
          <w:numId w:val="1002"/>
        </w:numPr>
        <w:pStyle w:val="Compact"/>
      </w:pPr>
      <w:r>
        <w:t xml:space="preserve">adjustment for confounders prespecified from a causal diagram; and</w:t>
      </w:r>
    </w:p>
    <w:p>
      <w:pPr>
        <w:numPr>
          <w:ilvl w:val="0"/>
          <w:numId w:val="1002"/>
        </w:numPr>
        <w:pStyle w:val="Compact"/>
      </w:pPr>
      <w:r>
        <w:t xml:space="preserve">sensitivity analyses for measured and unmeasured confounding, including a negative-control outcome and E-values (Section 2.18.8).</w:t>
      </w:r>
    </w:p>
    <w:p>
      <w:pPr>
        <w:pStyle w:val="FirstParagraph"/>
      </w:pPr>
      <w:r>
        <w:rPr>
          <w:bCs/>
          <w:b/>
        </w:rPr>
        <w:t xml:space="preserve">Scope of inference.</w:t>
      </w:r>
      <w:r>
        <w:t xml:space="preserve"> </w:t>
      </w:r>
      <w:r>
        <w:t xml:space="preserve">Each arm is a complete instructional strategy: a representation (supplied map, constructed map, or linear worksheet) combined with a defined learning activity. The study therefore estimates the comparative effectiveness of strategies. It does not estimate the isolated effect of AI generation on student learning, for two reasons: the AI-assisted maps were reviewed and revised by experts before use, and they were paired with a different activity from map construction. The contribution of generative AI to producing the maps was evaluated in a separate materials substudy (Section 2.8.4). That substudy compared accuracy, errors corrected, and development time with expert-authored maps. Because allocation was nonrandom, between-arm differences are interpreted as causal effects only under the assumptions stated in Section 2.18.3, and their robustness to unmeasured confounding is quantified.</w:t>
      </w:r>
    </w:p>
    <w:p>
      <w:pPr>
        <w:pStyle w:val="BodyText"/>
      </w:pPr>
      <w:r>
        <w:rPr>
          <w:bCs/>
          <w:b/>
        </w:rPr>
        <w:t xml:space="preserve">Registration and reporting.</w:t>
      </w:r>
      <w:r>
        <w:t xml:space="preserve"> </w:t>
      </w:r>
      <w:r>
        <w:t xml:space="preserve">The protocol (version 1.0, dated 15 November 2025) and the statistical analysis plan (SAP) were registered prospectively on Open Science Framework Registries on 20 December 2025, before recruitment (registration DOI: [insert]). The final SAP (version 2.0) was posted before database lock and unblinding. Any deviations from the registered protocol are listed with reasons in Supplementary Table S10. Reporting follows the Transparent Reporting of Evaluations with Nonrandomized Designs (TREND) statement (Des Jarlais et al., 2004). For the clustered structure, it also follows the relevant items of the CONSORT extension for cluster randomized trials (Campbell et al., 2012). Simulation elements follow the reporting guidelines for health care simulation research (Cheng et al., 2016). The instructional strategies are described using the Template for Intervention Description and Replication (TIDieR; Hoffmann et al., 2014). The completed checklists are provided in Supplementary S1. The study timeline is shown in Table 1.</w:t>
      </w:r>
    </w:p>
    <w:p>
      <w:pPr>
        <w:pStyle w:val="BodyText"/>
      </w:pPr>
      <w:r>
        <w:rPr>
          <w:bCs/>
          <w:b/>
        </w:rPr>
        <w:t xml:space="preserve">Table 1.</w:t>
      </w:r>
      <w:r>
        <w:t xml:space="preserve"> </w:t>
      </w:r>
      <w:r>
        <w:t xml:space="preserve">Study timeline (academic year 2025–2026)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Activity</w:t>
            </w:r>
          </w:p>
        </w:tc>
      </w:tr>
      <w:tr>
        <w:tc>
          <w:tcPr/>
          <w:p>
            <w:pPr>
              <w:pStyle w:val="Compact"/>
              <w:jc w:val="left"/>
            </w:pPr>
            <w:r>
              <w:t xml:space="preserve">15 Nov 2025</w:t>
            </w:r>
          </w:p>
        </w:tc>
        <w:tc>
          <w:tcPr/>
          <w:p>
            <w:pPr>
              <w:pStyle w:val="Compact"/>
              <w:jc w:val="left"/>
            </w:pPr>
            <w:r>
              <w:t xml:space="preserve">Protocol version 1.0 finalized</w:t>
            </w:r>
          </w:p>
        </w:tc>
      </w:tr>
      <w:tr>
        <w:tc>
          <w:tcPr/>
          <w:p>
            <w:pPr>
              <w:pStyle w:val="Compact"/>
              <w:jc w:val="left"/>
            </w:pPr>
            <w:r>
              <w:t xml:space="preserve">15 Dec 2025</w:t>
            </w:r>
          </w:p>
        </w:tc>
        <w:tc>
          <w:tcPr/>
          <w:p>
            <w:pPr>
              <w:pStyle w:val="Compact"/>
              <w:jc w:val="left"/>
            </w:pPr>
            <w:r>
              <w:t xml:space="preserve">Ethics approval (EC-2025-089; approved study period 15 Dec 2025 – 31 Dec 2026)</w:t>
            </w:r>
          </w:p>
        </w:tc>
      </w:tr>
      <w:tr>
        <w:tc>
          <w:tcPr/>
          <w:p>
            <w:pPr>
              <w:pStyle w:val="Compact"/>
              <w:jc w:val="left"/>
            </w:pPr>
            <w:r>
              <w:t xml:space="preserve">16 Dec 2025 – 8 Jan 2026</w:t>
            </w:r>
          </w:p>
        </w:tc>
        <w:tc>
          <w:tcPr/>
          <w:p>
            <w:pPr>
              <w:pStyle w:val="Compact"/>
              <w:jc w:val="left"/>
            </w:pPr>
            <w:r>
              <w:t xml:space="preserve">Content validation of instruments and cases (two expert rounds)</w:t>
            </w:r>
          </w:p>
        </w:tc>
      </w:tr>
      <w:tr>
        <w:tc>
          <w:tcPr/>
          <w:p>
            <w:pPr>
              <w:pStyle w:val="Compact"/>
              <w:jc w:val="left"/>
            </w:pPr>
            <w:r>
              <w:t xml:space="preserve">20 Dec 2025</w:t>
            </w:r>
          </w:p>
        </w:tc>
        <w:tc>
          <w:tcPr/>
          <w:p>
            <w:pPr>
              <w:pStyle w:val="Compact"/>
              <w:jc w:val="left"/>
            </w:pPr>
            <w:r>
              <w:t xml:space="preserve">Prospective registration of protocol and SAP</w:t>
            </w:r>
          </w:p>
        </w:tc>
      </w:tr>
      <w:tr>
        <w:tc>
          <w:tcPr/>
          <w:p>
            <w:pPr>
              <w:pStyle w:val="Compact"/>
              <w:jc w:val="left"/>
            </w:pPr>
            <w:r>
              <w:t xml:space="preserve">5 – 19 Jan 2026</w:t>
            </w:r>
          </w:p>
        </w:tc>
        <w:tc>
          <w:tcPr/>
          <w:p>
            <w:pPr>
              <w:pStyle w:val="Compact"/>
              <w:jc w:val="left"/>
            </w:pPr>
            <w:r>
              <w:t xml:space="preserve">AI-map generation and expert-authored comparison maps (5–8 Jan); clinical review (11–15 Jan); content freeze (19 Jan)</w:t>
            </w:r>
          </w:p>
        </w:tc>
      </w:tr>
      <w:tr>
        <w:tc>
          <w:tcPr/>
          <w:p>
            <w:pPr>
              <w:pStyle w:val="Compact"/>
              <w:jc w:val="left"/>
            </w:pPr>
            <w:r>
              <w:t xml:space="preserve">18 – 22 Jan 2026</w:t>
            </w:r>
          </w:p>
        </w:tc>
        <w:tc>
          <w:tcPr/>
          <w:p>
            <w:pPr>
              <w:pStyle w:val="Compact"/>
              <w:jc w:val="left"/>
            </w:pPr>
            <w:r>
              <w:t xml:space="preserve">Pilot: assessment procedures, knowledge item bank, and teaching rehearsal (fourth-year volunteers and registered nurses)</w:t>
            </w:r>
          </w:p>
        </w:tc>
      </w:tr>
      <w:tr>
        <w:tc>
          <w:tcPr/>
          <w:p>
            <w:pPr>
              <w:pStyle w:val="Compact"/>
              <w:jc w:val="left"/>
            </w:pPr>
            <w:r>
              <w:t xml:space="preserve">25 – 28 Jan 2026</w:t>
            </w:r>
          </w:p>
        </w:tc>
        <w:tc>
          <w:tcPr/>
          <w:p>
            <w:pPr>
              <w:pStyle w:val="Compact"/>
              <w:jc w:val="left"/>
            </w:pPr>
            <w:r>
              <w:t xml:space="preserve">Training of facilitators (25–26 Jan), simulation instructors (27–28 Jan), and assessment staff (28 Jan)</w:t>
            </w:r>
          </w:p>
        </w:tc>
      </w:tr>
      <w:tr>
        <w:tc>
          <w:tcPr/>
          <w:p>
            <w:pPr>
              <w:pStyle w:val="Compact"/>
              <w:jc w:val="left"/>
            </w:pPr>
            <w:r>
              <w:t xml:space="preserve">25 – 29 Jan 2026</w:t>
            </w:r>
          </w:p>
        </w:tc>
        <w:tc>
          <w:tcPr/>
          <w:p>
            <w:pPr>
              <w:pStyle w:val="Compact"/>
              <w:jc w:val="left"/>
            </w:pPr>
            <w:r>
              <w:t xml:space="preserve">Study information session (25 Jan); consent period (25–29 Jan)</w:t>
            </w:r>
          </w:p>
        </w:tc>
      </w:tr>
      <w:tr>
        <w:tc>
          <w:tcPr/>
          <w:p>
            <w:pPr>
              <w:pStyle w:val="Compact"/>
              <w:jc w:val="left"/>
            </w:pPr>
            <w:r>
              <w:t xml:space="preserve">1 – 11 Feb 2026</w:t>
            </w:r>
          </w:p>
        </w:tc>
        <w:tc>
          <w:tcPr/>
          <w:p>
            <w:pPr>
              <w:pStyle w:val="Compact"/>
              <w:jc w:val="left"/>
            </w:pPr>
            <w:r>
              <w:t xml:space="preserve">Baseline: simulation and skills assessments (1–10 Feb, 8 working days); knowledge test (11 Feb)</w:t>
            </w:r>
          </w:p>
        </w:tc>
      </w:tr>
      <w:tr>
        <w:tc>
          <w:tcPr/>
          <w:p>
            <w:pPr>
              <w:pStyle w:val="Compact"/>
              <w:jc w:val="left"/>
            </w:pPr>
            <w:r>
              <w:t xml:space="preserve">12 Feb 2026</w:t>
            </w:r>
          </w:p>
        </w:tc>
        <w:tc>
          <w:tcPr/>
          <w:p>
            <w:pPr>
              <w:pStyle w:val="Compact"/>
              <w:jc w:val="left"/>
            </w:pPr>
            <w:r>
              <w:t xml:space="preserve">Allocation of sections by the prespecified nonrandom rule</w:t>
            </w:r>
          </w:p>
        </w:tc>
      </w:tr>
      <w:tr>
        <w:tc>
          <w:tcPr/>
          <w:p>
            <w:pPr>
              <w:pStyle w:val="Compact"/>
              <w:jc w:val="left"/>
            </w:pPr>
            <w:r>
              <w:t xml:space="preserve">15 – 17 Feb 2026</w:t>
            </w:r>
          </w:p>
        </w:tc>
        <w:tc>
          <w:tcPr/>
          <w:p>
            <w:pPr>
              <w:pStyle w:val="Compact"/>
              <w:jc w:val="left"/>
            </w:pPr>
            <w:r>
              <w:t xml:space="preserve">Orientation (week 0)</w:t>
            </w:r>
          </w:p>
        </w:tc>
      </w:tr>
      <w:tr>
        <w:tc>
          <w:tcPr/>
          <w:p>
            <w:pPr>
              <w:pStyle w:val="Compact"/>
              <w:jc w:val="left"/>
            </w:pPr>
            <w:r>
              <w:t xml:space="preserve">22 Feb – 17 Mar 2026</w:t>
            </w:r>
          </w:p>
        </w:tc>
        <w:tc>
          <w:tcPr/>
          <w:p>
            <w:pPr>
              <w:pStyle w:val="Compact"/>
              <w:jc w:val="left"/>
            </w:pPr>
            <w:r>
              <w:t xml:space="preserve">Teaching sessions 1–4, one per week (weeks beginning 22 Feb, 1 Mar, 8 Mar, 15 Mar); all four sessions fell within Ramadan</w:t>
            </w:r>
          </w:p>
        </w:tc>
      </w:tr>
      <w:tr>
        <w:tc>
          <w:tcPr/>
          <w:p>
            <w:pPr>
              <w:pStyle w:val="Compact"/>
              <w:jc w:val="left"/>
            </w:pPr>
            <w:r>
              <w:t xml:space="preserve">Late March 2026</w:t>
            </w:r>
          </w:p>
        </w:tc>
        <w:tc>
          <w:tcPr/>
          <w:p>
            <w:pPr>
              <w:pStyle w:val="Compact"/>
              <w:jc w:val="left"/>
            </w:pPr>
            <w:r>
              <w:t xml:space="preserve">Official Eid al-Fitr holiday (between final teaching session and post-instruction assessment for all sections)</w:t>
            </w:r>
          </w:p>
        </w:tc>
      </w:tr>
      <w:tr>
        <w:tc>
          <w:tcPr/>
          <w:p>
            <w:pPr>
              <w:pStyle w:val="Compact"/>
              <w:jc w:val="left"/>
            </w:pPr>
            <w:r>
              <w:t xml:space="preserve">29 Mar – 8 Apr 2026</w:t>
            </w:r>
          </w:p>
        </w:tc>
        <w:tc>
          <w:tcPr/>
          <w:p>
            <w:pPr>
              <w:pStyle w:val="Compact"/>
              <w:jc w:val="left"/>
            </w:pPr>
            <w:r>
              <w:t xml:space="preserve">Post-instruction: simulation and skills assessments (29 Mar – 7 Apr, 8 working days); knowledge test plus contamination and acceptability questionnaires (8 Apr)</w:t>
            </w:r>
          </w:p>
        </w:tc>
      </w:tr>
      <w:tr>
        <w:tc>
          <w:tcPr/>
          <w:p>
            <w:pPr>
              <w:pStyle w:val="Compact"/>
              <w:jc w:val="left"/>
            </w:pPr>
            <w:r>
              <w:t xml:space="preserve">9 Apr 2026</w:t>
            </w:r>
          </w:p>
        </w:tc>
        <w:tc>
          <w:tcPr/>
          <w:p>
            <w:pPr>
              <w:pStyle w:val="Compact"/>
              <w:jc w:val="left"/>
            </w:pPr>
            <w:r>
              <w:t xml:space="preserve">Materials of all arms released to all students</w:t>
            </w:r>
          </w:p>
        </w:tc>
      </w:tr>
      <w:tr>
        <w:tc>
          <w:tcPr/>
          <w:p>
            <w:pPr>
              <w:pStyle w:val="Compact"/>
              <w:jc w:val="left"/>
            </w:pPr>
            <w:r>
              <w:t xml:space="preserve">12 – 13 Apr 2026</w:t>
            </w:r>
          </w:p>
        </w:tc>
        <w:tc>
          <w:tcPr/>
          <w:p>
            <w:pPr>
              <w:pStyle w:val="Compact"/>
              <w:jc w:val="left"/>
            </w:pPr>
            <w:r>
              <w:t xml:space="preserve">Outcome-rater training</w:t>
            </w:r>
          </w:p>
        </w:tc>
      </w:tr>
      <w:tr>
        <w:tc>
          <w:tcPr/>
          <w:p>
            <w:pPr>
              <w:pStyle w:val="Compact"/>
              <w:jc w:val="left"/>
            </w:pPr>
            <w:r>
              <w:t xml:space="preserve">14 Apr – 30 Jun 2026</w:t>
            </w:r>
          </w:p>
        </w:tc>
        <w:tc>
          <w:tcPr/>
          <w:p>
            <w:pPr>
              <w:pStyle w:val="Compact"/>
              <w:jc w:val="left"/>
            </w:pPr>
            <w:r>
              <w:t xml:space="preserve">Masked video rating</w:t>
            </w:r>
          </w:p>
        </w:tc>
      </w:tr>
      <w:tr>
        <w:tc>
          <w:tcPr/>
          <w:p>
            <w:pPr>
              <w:pStyle w:val="Compact"/>
              <w:jc w:val="left"/>
            </w:pPr>
            <w:r>
              <w:t xml:space="preserve">[date]</w:t>
            </w:r>
          </w:p>
        </w:tc>
        <w:tc>
          <w:tcPr/>
          <w:p>
            <w:pPr>
              <w:pStyle w:val="Compact"/>
              <w:jc w:val="left"/>
            </w:pPr>
            <w:r>
              <w:t xml:space="preserve">Final SAP posted; database lock; unblinding</w:t>
            </w:r>
          </w:p>
        </w:tc>
      </w:tr>
    </w:tbl>
    <w:bookmarkEnd w:id="20"/>
    <w:bookmarkStart w:id="21" w:name="theoretical-framework-and-hypotheses"/>
    <w:p>
      <w:pPr>
        <w:pStyle w:val="Heading2"/>
      </w:pPr>
      <w:r>
        <w:t xml:space="preserve">2.2. Theoretical Framework and Hypotheses</w:t>
      </w:r>
    </w:p>
    <w:p>
      <w:pPr>
        <w:pStyle w:val="FirstParagraph"/>
      </w:pPr>
      <w:r>
        <w:t xml:space="preserve">Two learning theories make</w:t>
      </w:r>
      <w:r>
        <w:t xml:space="preserve"> </w:t>
      </w:r>
      <w:r>
        <w:rPr>
          <w:bCs/>
          <w:b/>
        </w:rPr>
        <w:t xml:space="preserve">opposite predictions</w:t>
      </w:r>
      <w:r>
        <w:t xml:space="preserve"> </w:t>
      </w:r>
      <w:r>
        <w:t xml:space="preserve">about the primary comparison.</w:t>
      </w:r>
    </w:p>
    <w:p>
      <w:pPr>
        <w:numPr>
          <w:ilvl w:val="0"/>
          <w:numId w:val="1003"/>
        </w:numPr>
        <w:pStyle w:val="Compact"/>
      </w:pPr>
      <w:r>
        <w:rPr>
          <w:bCs/>
          <w:b/>
        </w:rPr>
        <w:t xml:space="preserve">Generative Learning Theory</w:t>
      </w:r>
      <w:r>
        <w:t xml:space="preserve"> </w:t>
      </w:r>
      <w:r>
        <w:t xml:space="preserve">(Fiorella and Mayer, 2016) holds that learning depends on selecting relevant information, organizing it, and integrating it with prior knowledge. Constructing a map requires students to do the selecting and organizing themselves. If generative activity is the active ingredient, the student-map arm should perform at least as well as the AI-assisted map arm.</w:t>
      </w:r>
    </w:p>
    <w:p>
      <w:pPr>
        <w:numPr>
          <w:ilvl w:val="0"/>
          <w:numId w:val="1003"/>
        </w:numPr>
        <w:pStyle w:val="Compact"/>
      </w:pPr>
      <w:r>
        <w:rPr>
          <w:bCs/>
          <w:b/>
        </w:rPr>
        <w:t xml:space="preserve">Cognitive Load Theory</w:t>
      </w:r>
      <w:r>
        <w:t xml:space="preserve"> </w:t>
      </w:r>
      <w:r>
        <w:t xml:space="preserve">predicts the reverse for novices through the worked-example effect: studying and elaborating an expert-organized example produces more learning than unaided construction (Sweller et al., 2019). It predicts an advantage for the AI-assisted map arm. The related expertise-reversal effect predicts that this advantage shrinks as prior knowledge increases (Kalyuga et al., 2003).</w:t>
      </w:r>
    </w:p>
    <w:p>
      <w:pPr>
        <w:pStyle w:val="FirstParagraph"/>
      </w:pPr>
      <w:r>
        <w:t xml:space="preserve">Because the theories disagree on direction, the primary hypothesis was specified as two-sided.</w:t>
      </w:r>
    </w:p>
    <w:p>
      <w:pPr>
        <w:pStyle w:val="BodyText"/>
      </w:pPr>
      <w:r>
        <w:t xml:space="preserve">The</w:t>
      </w:r>
      <w:r>
        <w:t xml:space="preserve"> </w:t>
      </w:r>
      <w:r>
        <w:rPr>
          <w:bCs/>
          <w:b/>
        </w:rPr>
        <w:t xml:space="preserve">Clinical Reasoning Cycle</w:t>
      </w:r>
      <w:r>
        <w:t xml:space="preserve"> </w:t>
      </w:r>
      <w:r>
        <w:t xml:space="preserve">(Levett-Jones et al., 2010) anchored both teaching and assessment. Its eight phases are: considering the patient situation, collecting cues, processing information, identifying problems, establishing goals, taking action, evaluating outcomes, and reflecting. These phases define four shared elements of the study:</w:t>
      </w:r>
    </w:p>
    <w:p>
      <w:pPr>
        <w:numPr>
          <w:ilvl w:val="0"/>
          <w:numId w:val="1004"/>
        </w:numPr>
        <w:pStyle w:val="Compact"/>
      </w:pPr>
      <w:r>
        <w:t xml:space="preserve">the eight case-analysis headings used in all arms (Section 2.9);</w:t>
      </w:r>
    </w:p>
    <w:p>
      <w:pPr>
        <w:numPr>
          <w:ilvl w:val="0"/>
          <w:numId w:val="1004"/>
        </w:numPr>
        <w:pStyle w:val="Compact"/>
      </w:pPr>
      <w:r>
        <w:t xml:space="preserve">the facilitator feedback criteria;</w:t>
      </w:r>
    </w:p>
    <w:p>
      <w:pPr>
        <w:numPr>
          <w:ilvl w:val="0"/>
          <w:numId w:val="1004"/>
        </w:numPr>
        <w:pStyle w:val="Compact"/>
      </w:pPr>
      <w:r>
        <w:t xml:space="preserve">the clinical review checklist for the AI-assisted maps; and</w:t>
      </w:r>
    </w:p>
    <w:p>
      <w:pPr>
        <w:numPr>
          <w:ilvl w:val="0"/>
          <w:numId w:val="1004"/>
        </w:numPr>
        <w:pStyle w:val="Compact"/>
      </w:pPr>
      <w:r>
        <w:t xml:space="preserve">the primary outcome rubric (Section 2.13).</w:t>
      </w:r>
    </w:p>
    <w:p>
      <w:pPr>
        <w:pStyle w:val="FirstParagraph"/>
      </w:pPr>
      <w:r>
        <w:rPr>
          <w:bCs/>
          <w:b/>
        </w:rPr>
        <w:t xml:space="preserve">Hypotheses</w:t>
      </w:r>
      <w:r>
        <w:t xml:space="preserve"> </w:t>
      </w:r>
      <w:r>
        <w:t xml:space="preserve">(registered before recruitment):</w:t>
      </w:r>
    </w:p>
    <w:p>
      <w:pPr>
        <w:numPr>
          <w:ilvl w:val="0"/>
          <w:numId w:val="1005"/>
        </w:numPr>
        <w:pStyle w:val="Compact"/>
      </w:pPr>
      <w:r>
        <w:rPr>
          <w:bCs/>
          <w:b/>
        </w:rPr>
        <w:t xml:space="preserve">H1 (primary).</w:t>
      </w:r>
      <w:r>
        <w:t xml:space="preserve"> </w:t>
      </w:r>
      <w:r>
        <w:t xml:space="preserve">Post-instruction clinical reasoning performance differs between the AI-assisted map arm and the student-map arm (two-sided).</w:t>
      </w:r>
    </w:p>
    <w:p>
      <w:pPr>
        <w:numPr>
          <w:ilvl w:val="0"/>
          <w:numId w:val="1005"/>
        </w:numPr>
        <w:pStyle w:val="Compact"/>
      </w:pPr>
      <w:r>
        <w:rPr>
          <w:bCs/>
          <w:b/>
        </w:rPr>
        <w:t xml:space="preserve">H2 (key secondary).</w:t>
      </w:r>
      <w:r>
        <w:t xml:space="preserve"> </w:t>
      </w:r>
      <w:r>
        <w:t xml:space="preserve">Post-instruction clinical reasoning performance in each mapping arm differs from that in the worksheet arm (two-sided).</w:t>
      </w:r>
    </w:p>
    <w:p>
      <w:pPr>
        <w:numPr>
          <w:ilvl w:val="0"/>
          <w:numId w:val="1005"/>
        </w:numPr>
        <w:pStyle w:val="Compact"/>
      </w:pPr>
      <w:r>
        <w:rPr>
          <w:bCs/>
          <w:b/>
        </w:rPr>
        <w:t xml:space="preserve">H3 (exploratory moderation).</w:t>
      </w:r>
      <w:r>
        <w:t xml:space="preserve"> </w:t>
      </w:r>
      <w:r>
        <w:t xml:space="preserve">The difference between the AI-assisted map and student-map arms varies with baseline clinical reasoning performance. Following the expertise-reversal effect, the relative advantage of the supplied map is expected to be larger in students with lower baseline scores.</w:t>
      </w:r>
    </w:p>
    <w:p>
      <w:pPr>
        <w:pStyle w:val="FirstParagraph"/>
      </w:pPr>
      <w:r>
        <w:rPr>
          <w:bCs/>
          <w:b/>
        </w:rPr>
        <w:t xml:space="preserve">Rationale for the primary comparison.</w:t>
      </w:r>
      <w:r>
        <w:t xml:space="preserve"> </w:t>
      </w:r>
      <w:r>
        <w:t xml:space="preserve">The choice between the two map strategies is the practical decision educators face when adopting AI-assisted materials: whether to supply a reviewed map or ask students to build their own. The worksheet arm represents the faculty’s current case-analysis format and serves as a common reference for both mapping strategies.</w:t>
      </w:r>
    </w:p>
    <w:p>
      <w:pPr>
        <w:pStyle w:val="BodyText"/>
      </w:pPr>
      <w:r>
        <w:rPr>
          <w:bCs/>
          <w:b/>
        </w:rPr>
        <w:t xml:space="preserve">Process measures.</w:t>
      </w:r>
      <w:r>
        <w:t xml:space="preserve"> </w:t>
      </w:r>
      <w:r>
        <w:t xml:space="preserve">Cognitive load and the quality of students’ work products (Section 2.12) were measured to describe possible mechanisms. These are exploratory. No formal mediation analysis was planned, because the study is not powered for one.</w:t>
      </w:r>
    </w:p>
    <w:bookmarkEnd w:id="21"/>
    <w:bookmarkStart w:id="22" w:name="setting-and-educational-context"/>
    <w:p>
      <w:pPr>
        <w:pStyle w:val="Heading2"/>
      </w:pPr>
      <w:r>
        <w:t xml:space="preserve">2.3. Setting and Educational Context</w:t>
      </w:r>
    </w:p>
    <w:p>
      <w:pPr>
        <w:pStyle w:val="FirstParagraph"/>
      </w:pPr>
      <w:r>
        <w:t xml:space="preserve">The study took place in the Pediatric Clinical Skills Laboratory of the Faculty of Nursing, Tanta University, Egypt. It was embedded in the compulsory third-year Pediatric Nursing course during the second semester of 2025–2026.</w:t>
      </w:r>
    </w:p>
    <w:p>
      <w:pPr>
        <w:pStyle w:val="BodyText"/>
      </w:pPr>
      <w:r>
        <w:rPr>
          <w:bCs/>
          <w:b/>
        </w:rPr>
        <w:t xml:space="preserve">Students’ background.</w:t>
      </w:r>
      <w:r>
        <w:t xml:space="preserve"> </w:t>
      </w:r>
      <w:r>
        <w:t xml:space="preserve">Before the course, students had completed fundamentals of nursing, health assessment, and adult medical–surgical nursing, which included adult neurological assessment. Their earlier simulation experience consisted of task-trainer skills practice and six low- to medium-fidelity scenarios in adult nursing courses. English is the language of instruction, assessment, and course materials. Students attended clinical placements in the pediatric units of Tanta University Hospitals at the same time as laboratory teaching. Their exposure to children with head injury during placement was recorded (Section 2.11).</w:t>
      </w:r>
    </w:p>
    <w:p>
      <w:pPr>
        <w:pStyle w:val="BodyText"/>
      </w:pPr>
      <w:r>
        <w:rPr>
          <w:bCs/>
          <w:b/>
        </w:rPr>
        <w:t xml:space="preserve">Unit content.</w:t>
      </w:r>
      <w:r>
        <w:t xml:space="preserve"> </w:t>
      </w:r>
      <w:r>
        <w:t xml:space="preserve">The pediatric neurotrauma unit covered head and brain injury, including traumatic brain injury (TBI), in children aged 6 months to 12 years. Simulated cases were limited to children aged 6 months to 8 years so that every case could be represented by an age-appropriate manikin. Clinical content followed current guidance on assessment and early management (Kochanek et al., 2019; National Institute for Health and Care Excellence [NICE], 2023; Chan et al., 2025). The learning objectives were to:</w:t>
      </w:r>
    </w:p>
    <w:p>
      <w:pPr>
        <w:numPr>
          <w:ilvl w:val="0"/>
          <w:numId w:val="1006"/>
        </w:numPr>
        <w:pStyle w:val="Compact"/>
      </w:pPr>
      <w:r>
        <w:t xml:space="preserve">Perform and interpret an age-appropriate neurological assessment: the Glasgow Coma Scale and its pediatric modification, AVPU, pupils, limb movement, and fontanelle in infants. Interpret vital signs against age-specific norms.</w:t>
      </w:r>
    </w:p>
    <w:p>
      <w:pPr>
        <w:numPr>
          <w:ilvl w:val="0"/>
          <w:numId w:val="1006"/>
        </w:numPr>
        <w:pStyle w:val="Compact"/>
      </w:pPr>
      <w:r>
        <w:t xml:space="preserve">Recognize early and late signs of neurological deterioration and raised intracranial pressure.</w:t>
      </w:r>
    </w:p>
    <w:p>
      <w:pPr>
        <w:numPr>
          <w:ilvl w:val="0"/>
          <w:numId w:val="1006"/>
        </w:numPr>
        <w:pStyle w:val="Compact"/>
      </w:pPr>
      <w:r>
        <w:t xml:space="preserve">Identify and prioritize nursing problems.</w:t>
      </w:r>
    </w:p>
    <w:p>
      <w:pPr>
        <w:numPr>
          <w:ilvl w:val="0"/>
          <w:numId w:val="1006"/>
        </w:numPr>
        <w:pStyle w:val="Compact"/>
      </w:pPr>
      <w:r>
        <w:t xml:space="preserve">Start priority nursing actions within the nursing scope of practice to limit secondary brain injury, and escalate care using structured communication (SBAR).</w:t>
      </w:r>
    </w:p>
    <w:p>
      <w:pPr>
        <w:numPr>
          <w:ilvl w:val="0"/>
          <w:numId w:val="1006"/>
        </w:numPr>
        <w:pStyle w:val="Compact"/>
      </w:pPr>
      <w:r>
        <w:t xml:space="preserve">Evaluate the child’s responses and plan the content and frequency of reassessment.</w:t>
      </w:r>
    </w:p>
    <w:p>
      <w:pPr>
        <w:numPr>
          <w:ilvl w:val="0"/>
          <w:numId w:val="1006"/>
        </w:numPr>
        <w:pStyle w:val="Compact"/>
      </w:pPr>
      <w:r>
        <w:t xml:space="preserve">Communicate with the family in a family-centered way and provide discharge education, including return precautions.</w:t>
      </w:r>
    </w:p>
    <w:p>
      <w:pPr>
        <w:pStyle w:val="FirstParagraph"/>
      </w:pPr>
      <w:r>
        <w:rPr>
          <w:bCs/>
          <w:b/>
        </w:rPr>
        <w:t xml:space="preserve">Facilities.</w:t>
      </w:r>
      <w:r>
        <w:t xml:space="preserve"> </w:t>
      </w:r>
      <w:r>
        <w:t xml:space="preserve">The laboratory has six simulation rooms. Each room is equipped with:</w:t>
      </w:r>
    </w:p>
    <w:p>
      <w:pPr>
        <w:numPr>
          <w:ilvl w:val="0"/>
          <w:numId w:val="1007"/>
        </w:numPr>
        <w:pStyle w:val="Compact"/>
      </w:pPr>
      <w:r>
        <w:t xml:space="preserve">two high-fidelity pediatric manikins: an infant/toddler manikin (Gaumard Pediatric HAL S2225, 1-year-old) and a child manikin (Gaumard Pediatric HAL S3005, 5-year-old; Gaumard Scientific, Miami, FL), with the one used set by the case;</w:t>
      </w:r>
    </w:p>
    <w:p>
      <w:pPr>
        <w:numPr>
          <w:ilvl w:val="0"/>
          <w:numId w:val="1007"/>
        </w:numPr>
        <w:pStyle w:val="Compact"/>
      </w:pPr>
      <w:r>
        <w:t xml:space="preserve">a simulated patient monitor;</w:t>
      </w:r>
    </w:p>
    <w:p>
      <w:pPr>
        <w:numPr>
          <w:ilvl w:val="0"/>
          <w:numId w:val="1007"/>
        </w:numPr>
        <w:pStyle w:val="Compact"/>
      </w:pPr>
      <w:r>
        <w:t xml:space="preserve">oxygen-delivery devices and suction;</w:t>
      </w:r>
    </w:p>
    <w:p>
      <w:pPr>
        <w:numPr>
          <w:ilvl w:val="0"/>
          <w:numId w:val="1007"/>
        </w:numPr>
        <w:pStyle w:val="Compact"/>
      </w:pPr>
      <w:r>
        <w:t xml:space="preserve">cervical-spine immobilization equipment and age-appropriate blood-pressure cuffs;</w:t>
      </w:r>
    </w:p>
    <w:p>
      <w:pPr>
        <w:numPr>
          <w:ilvl w:val="0"/>
          <w:numId w:val="1007"/>
        </w:numPr>
        <w:pStyle w:val="Compact"/>
      </w:pPr>
      <w:r>
        <w:t xml:space="preserve">a pupil gauge and penlight, and pediatric neurological observation charts; and</w:t>
      </w:r>
    </w:p>
    <w:p>
      <w:pPr>
        <w:numPr>
          <w:ilvl w:val="0"/>
          <w:numId w:val="1007"/>
        </w:numPr>
        <w:pStyle w:val="Compact"/>
      </w:pPr>
      <w:r>
        <w:t xml:space="preserve">an audio–video capture system (SimCapture, Laerdal Medical, Stavanger, Norway).</w:t>
      </w:r>
    </w:p>
    <w:p>
      <w:pPr>
        <w:pStyle w:val="FirstParagraph"/>
      </w:pPr>
      <w:r>
        <w:t xml:space="preserve">Two additional skills rooms with task trainers were used for the procedural-skills station. Seminar rooms were used for case work.</w:t>
      </w:r>
    </w:p>
    <w:p>
      <w:pPr>
        <w:pStyle w:val="BodyText"/>
      </w:pPr>
      <w:r>
        <w:rPr>
          <w:bCs/>
          <w:b/>
        </w:rPr>
        <w:t xml:space="preserve">Cohort organization.</w:t>
      </w:r>
      <w:r>
        <w:t xml:space="preserve"> </w:t>
      </w:r>
      <w:r>
        <w:t xml:space="preserve">The course divides its 450 students into 15 laboratory sections of 30. Each section is split into six small groups of five, formed by the course coordinator before the term using the faculty’s routine procedure and kept constant throughout. Before the term began, the faculty timetable fixed each section’s teaching day, time slot, and facilitator. Five clinical instructors facilitated the sections, three sections each. All held a master’s or doctoral degree in pediatric nursing, and their mean teaching experience was 8 years.</w:t>
      </w:r>
    </w:p>
    <w:p>
      <w:pPr>
        <w:pStyle w:val="BodyText"/>
      </w:pPr>
      <w:r>
        <w:rPr>
          <w:bCs/>
          <w:b/>
        </w:rPr>
        <w:t xml:space="preserve">The comparator.</w:t>
      </w:r>
      <w:r>
        <w:t xml:space="preserve"> </w:t>
      </w:r>
      <w:r>
        <w:t xml:space="preserve">Case analysis with structured worksheets is the faculty’s routine format for case-based learning. In this study, however, the worksheet arm was delivered within the same flipped and simulation-enhanced structure as the other arms. It is therefore an active comparator, not unchanged usual practice.</w:t>
      </w:r>
    </w:p>
    <w:bookmarkEnd w:id="22"/>
    <w:bookmarkStart w:id="23" w:name="X7c75bceab0b40a63ba78f42cd3f768de34930a0"/>
    <w:p>
      <w:pPr>
        <w:pStyle w:val="Heading2"/>
      </w:pPr>
      <w:r>
        <w:t xml:space="preserve">2.4. Participants, Eligibility, Recruitment, and Consent</w:t>
      </w:r>
    </w:p>
    <w:p>
      <w:pPr>
        <w:pStyle w:val="FirstParagraph"/>
      </w:pPr>
      <w:r>
        <w:rPr>
          <w:bCs/>
          <w:b/>
        </w:rPr>
        <w:t xml:space="preserve">Eligibility.</w:t>
      </w:r>
      <w:r>
        <w:t xml:space="preserve"> </w:t>
      </w:r>
      <w:r>
        <w:t xml:space="preserve">All students enrolled in the third-year Pediatric Nursing course for the first time in 2025–2026 were eligible, giving a census of the cohort. Exclusion criteria were:</w:t>
      </w:r>
    </w:p>
    <w:p>
      <w:pPr>
        <w:numPr>
          <w:ilvl w:val="0"/>
          <w:numId w:val="1008"/>
        </w:numPr>
        <w:pStyle w:val="Compact"/>
      </w:pPr>
      <w:r>
        <w:t xml:space="preserve">repeating the course; or</w:t>
      </w:r>
    </w:p>
    <w:p>
      <w:pPr>
        <w:numPr>
          <w:ilvl w:val="0"/>
          <w:numId w:val="1008"/>
        </w:numPr>
        <w:pStyle w:val="Compact"/>
      </w:pPr>
      <w:r>
        <w:t xml:space="preserve">documented previous structured neurotrauma simulation training outside the curriculum.</w:t>
      </w:r>
    </w:p>
    <w:p>
      <w:pPr>
        <w:pStyle w:val="FirstParagraph"/>
      </w:pPr>
      <w:r>
        <w:t xml:space="preserve">Availability for future sessions was not an eligibility criterion. Absences were handled as intercurrent events and missing data (Section 2.18).</w:t>
      </w:r>
    </w:p>
    <w:p>
      <w:pPr>
        <w:pStyle w:val="BodyText"/>
      </w:pPr>
      <w:r>
        <w:rPr>
          <w:bCs/>
          <w:b/>
        </w:rPr>
        <w:t xml:space="preserve">Recruitment and consent.</w:t>
      </w:r>
      <w:r>
        <w:t xml:space="preserve"> </w:t>
      </w:r>
      <w:r>
        <w:t xml:space="preserve">An independent researcher with no teaching or grading role presented the study at a scheduled course meeting on 25 January 2026. Students received a written information sheet and had at least 48 hours to decide; the consent period closed on 29 January 2026. The consent form had three separate options:</w:t>
      </w:r>
    </w:p>
    <w:p>
      <w:pPr>
        <w:numPr>
          <w:ilvl w:val="0"/>
          <w:numId w:val="1009"/>
        </w:numPr>
        <w:pStyle w:val="Compact"/>
      </w:pPr>
    </w:p>
    <w:p>
      <w:pPr>
        <w:numPr>
          <w:ilvl w:val="1"/>
          <w:numId w:val="1010"/>
        </w:numPr>
        <w:pStyle w:val="Compact"/>
      </w:pPr>
      <w:r>
        <w:t xml:space="preserve">use of assessment and questionnaire data for research;</w:t>
      </w:r>
    </w:p>
    <w:p>
      <w:pPr>
        <w:numPr>
          <w:ilvl w:val="0"/>
          <w:numId w:val="1009"/>
        </w:numPr>
        <w:pStyle w:val="Compact"/>
      </w:pPr>
    </w:p>
    <w:p>
      <w:pPr>
        <w:numPr>
          <w:ilvl w:val="1"/>
          <w:numId w:val="1011"/>
        </w:numPr>
        <w:pStyle w:val="Compact"/>
      </w:pPr>
      <w:r>
        <w:t xml:space="preserve">video recording of assessments for masked rating; and</w:t>
      </w:r>
    </w:p>
    <w:p>
      <w:pPr>
        <w:numPr>
          <w:ilvl w:val="0"/>
          <w:numId w:val="1009"/>
        </w:numPr>
        <w:pStyle w:val="Compact"/>
      </w:pPr>
    </w:p>
    <w:p>
      <w:pPr>
        <w:numPr>
          <w:ilvl w:val="1"/>
          <w:numId w:val="1012"/>
        </w:numPr>
        <w:pStyle w:val="Compact"/>
      </w:pPr>
      <w:r>
        <w:t xml:space="preserve">optional use of anonymized recordings for training future raters.</w:t>
      </w:r>
    </w:p>
    <w:p>
      <w:pPr>
        <w:pStyle w:val="FirstParagraph"/>
      </w:pPr>
      <w:r>
        <w:t xml:space="preserve">Several safeguards protected voluntariness:</w:t>
      </w:r>
    </w:p>
    <w:p>
      <w:pPr>
        <w:numPr>
          <w:ilvl w:val="0"/>
          <w:numId w:val="1013"/>
        </w:numPr>
        <w:pStyle w:val="Compact"/>
      </w:pPr>
      <w:r>
        <w:t xml:space="preserve">Completed forms were placed in a sealed box held by the independent researcher.</w:t>
      </w:r>
    </w:p>
    <w:p>
      <w:pPr>
        <w:numPr>
          <w:ilvl w:val="0"/>
          <w:numId w:val="1013"/>
        </w:numPr>
        <w:pStyle w:val="Compact"/>
      </w:pPr>
      <w:r>
        <w:t xml:space="preserve">Teaching staff were not told who had consented until final course grades had been released.</w:t>
      </w:r>
    </w:p>
    <w:p>
      <w:pPr>
        <w:numPr>
          <w:ilvl w:val="0"/>
          <w:numId w:val="1013"/>
        </w:numPr>
        <w:pStyle w:val="Compact"/>
      </w:pPr>
      <w:r>
        <w:t xml:space="preserve">Allocation took place after consent closed and after baseline assessment (Section 2.5), so students decided without knowing their allocation.</w:t>
      </w:r>
    </w:p>
    <w:p>
      <w:pPr>
        <w:numPr>
          <w:ilvl w:val="0"/>
          <w:numId w:val="1013"/>
        </w:numPr>
        <w:pStyle w:val="Compact"/>
      </w:pPr>
      <w:r>
        <w:t xml:space="preserve">Students were told that declining would not affect their grades or standing, and that all students would receive the full teaching as part of the curriculum.</w:t>
      </w:r>
    </w:p>
    <w:p>
      <w:pPr>
        <w:numPr>
          <w:ilvl w:val="0"/>
          <w:numId w:val="1013"/>
        </w:numPr>
        <w:pStyle w:val="Compact"/>
      </w:pPr>
      <w:r>
        <w:t xml:space="preserve">Students who declined took part in all teaching. They completed the formative assessments as learning activities, without video recording, and no data were retained for them.</w:t>
      </w:r>
    </w:p>
    <w:p>
      <w:pPr>
        <w:numPr>
          <w:ilvl w:val="0"/>
          <w:numId w:val="1013"/>
        </w:numPr>
        <w:pStyle w:val="Compact"/>
      </w:pPr>
      <w:r>
        <w:t xml:space="preserve">Participants could withdraw their data until database lock.</w:t>
      </w:r>
    </w:p>
    <w:p>
      <w:pPr>
        <w:pStyle w:val="FirstParagraph"/>
      </w:pPr>
      <w:r>
        <w:rPr>
          <w:bCs/>
          <w:b/>
        </w:rPr>
        <w:t xml:space="preserve">Baseline questionnaire.</w:t>
      </w:r>
      <w:r>
        <w:t xml:space="preserve"> </w:t>
      </w:r>
      <w:r>
        <w:t xml:space="preserve">The questionnaire was developed by the researchers and completed after consent and before baseline assessment. It recorded:</w:t>
      </w:r>
    </w:p>
    <w:p>
      <w:pPr>
        <w:numPr>
          <w:ilvl w:val="0"/>
          <w:numId w:val="1014"/>
        </w:numPr>
        <w:pStyle w:val="Compact"/>
      </w:pPr>
      <w:r>
        <w:t xml:space="preserve">age and sex;</w:t>
      </w:r>
    </w:p>
    <w:p>
      <w:pPr>
        <w:numPr>
          <w:ilvl w:val="0"/>
          <w:numId w:val="1014"/>
        </w:numPr>
        <w:pStyle w:val="Compact"/>
      </w:pPr>
      <w:r>
        <w:t xml:space="preserve">cumulative grade point average (GPA) from the previous academic year, taken from faculty records;</w:t>
      </w:r>
    </w:p>
    <w:p>
      <w:pPr>
        <w:numPr>
          <w:ilvl w:val="0"/>
          <w:numId w:val="1014"/>
        </w:numPr>
        <w:pStyle w:val="Compact"/>
      </w:pPr>
      <w:r>
        <w:t xml:space="preserve">English language course grade, taken from faculty records as an objective indicator of English proficiency, plus self-rated English proficiency on a 4-point scale;</w:t>
      </w:r>
    </w:p>
    <w:p>
      <w:pPr>
        <w:numPr>
          <w:ilvl w:val="0"/>
          <w:numId w:val="1014"/>
        </w:numPr>
        <w:pStyle w:val="Compact"/>
      </w:pPr>
      <w:r>
        <w:t xml:space="preserve">the score on the non-neurological pediatric content of the course mid-semester examination, taken from faculty records after that examination and used as a negative-control outcome (Section 2.18.8);</w:t>
      </w:r>
    </w:p>
    <w:p>
      <w:pPr>
        <w:numPr>
          <w:ilvl w:val="0"/>
          <w:numId w:val="1014"/>
        </w:numPr>
        <w:pStyle w:val="Compact"/>
      </w:pPr>
      <w:r>
        <w:t xml:space="preserve">number of previous simulation sessions;</w:t>
      </w:r>
    </w:p>
    <w:p>
      <w:pPr>
        <w:numPr>
          <w:ilvl w:val="0"/>
          <w:numId w:val="1014"/>
        </w:numPr>
        <w:pStyle w:val="Compact"/>
      </w:pPr>
      <w:r>
        <w:t xml:space="preserve">previous use of mind maps or concept maps for study (never, occasionally, regularly);</w:t>
      </w:r>
    </w:p>
    <w:p>
      <w:pPr>
        <w:numPr>
          <w:ilvl w:val="0"/>
          <w:numId w:val="1014"/>
        </w:numPr>
        <w:pStyle w:val="Compact"/>
      </w:pPr>
      <w:r>
        <w:t xml:space="preserve">frequency of generative AI use for study (never, occasionally, weekly, daily); and</w:t>
      </w:r>
    </w:p>
    <w:p>
      <w:pPr>
        <w:numPr>
          <w:ilvl w:val="0"/>
          <w:numId w:val="1014"/>
        </w:numPr>
        <w:pStyle w:val="Compact"/>
      </w:pPr>
      <w:r>
        <w:t xml:space="preserve">previous exposure to children with head injury in clinical placements.</w:t>
      </w:r>
    </w:p>
    <w:p>
      <w:pPr>
        <w:pStyle w:val="FirstParagraph"/>
      </w:pPr>
      <w:r>
        <w:rPr>
          <w:bCs/>
          <w:b/>
        </w:rPr>
        <w:t xml:space="preserve">Facilitator expectations.</w:t>
      </w:r>
      <w:r>
        <w:t xml:space="preserve"> </w:t>
      </w:r>
      <w:r>
        <w:t xml:space="preserve">Before allocation, each facilitator rated how effective they expected each strategy to be on a 5-point scale. These ratings are reported descriptively as an indicator of possible allegiance.</w:t>
      </w:r>
    </w:p>
    <w:bookmarkEnd w:id="23"/>
    <w:bookmarkStart w:id="24" w:name="X64fa4aee48e1af106620cd978e7cdc6fdaa7ec3"/>
    <w:p>
      <w:pPr>
        <w:pStyle w:val="Heading2"/>
      </w:pPr>
      <w:r>
        <w:t xml:space="preserve">2.5. Nonrandom Allocation, Balancing, and Scheduling</w:t>
      </w:r>
    </w:p>
    <w:p>
      <w:pPr>
        <w:pStyle w:val="FirstParagraph"/>
      </w:pPr>
      <w:r>
        <w:rPr>
          <w:bCs/>
          <w:b/>
        </w:rPr>
        <w:t xml:space="preserve">Unit and timing of allocation.</w:t>
      </w:r>
      <w:r>
        <w:t xml:space="preserve"> </w:t>
      </w:r>
      <w:r>
        <w:t xml:space="preserve">Allocation to strategy was nonrandom and by intact laboratory section; students were not assigned individually. The allocation rule was prespecified in the registered protocol. It was applied on 12 February 2026, after consent and baseline assessment and before orientation. The person who applied it was a methodologist with no role in recruitment, teaching, assessment, or analysis. Students could not choose or change their section or strategy.</w:t>
      </w:r>
    </w:p>
    <w:p>
      <w:pPr>
        <w:pStyle w:val="BodyText"/>
      </w:pPr>
      <w:r>
        <w:rPr>
          <w:bCs/>
          <w:b/>
        </w:rPr>
        <w:t xml:space="preserve">Allocation rule.</w:t>
      </w:r>
      <w:r>
        <w:t xml:space="preserve"> </w:t>
      </w:r>
      <w:r>
        <w:t xml:space="preserve">The rule had three steps.</w:t>
      </w:r>
    </w:p>
    <w:p>
      <w:pPr>
        <w:numPr>
          <w:ilvl w:val="0"/>
          <w:numId w:val="1015"/>
        </w:numPr>
        <w:pStyle w:val="Compact"/>
      </w:pPr>
      <w:r>
        <w:rPr>
          <w:bCs/>
          <w:b/>
        </w:rPr>
        <w:t xml:space="preserve">Facilitator crossing.</w:t>
      </w:r>
      <w:r>
        <w:t xml:space="preserve"> </w:t>
      </w:r>
      <w:r>
        <w:t xml:space="preserve">Within each of the five facilitators, the three timetabled sections were allocated one to each arm. Facilitators were therefore crossed with arms, so instructor effects cannot be confounded with arm.</w:t>
      </w:r>
    </w:p>
    <w:p>
      <w:pPr>
        <w:numPr>
          <w:ilvl w:val="0"/>
          <w:numId w:val="1015"/>
        </w:numPr>
        <w:pStyle w:val="Compact"/>
      </w:pPr>
      <w:r>
        <w:rPr>
          <w:bCs/>
          <w:b/>
        </w:rPr>
        <w:t xml:space="preserve">Eligibility constraints.</w:t>
      </w:r>
      <w:r>
        <w:t xml:space="preserve"> </w:t>
      </w:r>
      <w:r>
        <w:t xml:space="preserve">Of the 6⁵ = 7,776 possible allocations that satisfy step 1, only those meeting all of the following were eligible:</w:t>
      </w:r>
    </w:p>
    <w:p>
      <w:pPr>
        <w:numPr>
          <w:ilvl w:val="1"/>
          <w:numId w:val="1016"/>
        </w:numPr>
        <w:pStyle w:val="Compact"/>
      </w:pPr>
    </w:p>
    <w:p>
      <w:pPr>
        <w:numPr>
          <w:ilvl w:val="2"/>
          <w:numId w:val="1017"/>
        </w:numPr>
        <w:pStyle w:val="Compact"/>
      </w:pPr>
      <w:r>
        <w:t xml:space="preserve">each arm was taught in the first, second, and third weekly teaching position (Sunday, Monday, Tuesday) in one or two facilitators’ sets of sections, so that the order in which a facilitator taught the arms was balanced across arms; and</w:t>
      </w:r>
    </w:p>
    <w:p>
      <w:pPr>
        <w:numPr>
          <w:ilvl w:val="1"/>
          <w:numId w:val="1016"/>
        </w:numPr>
        <w:pStyle w:val="Compact"/>
      </w:pPr>
    </w:p>
    <w:p>
      <w:pPr>
        <w:numPr>
          <w:ilvl w:val="2"/>
          <w:numId w:val="1018"/>
        </w:numPr>
        <w:pStyle w:val="Compact"/>
      </w:pPr>
      <w:r>
        <w:t xml:space="preserve">the number of afternoon teaching slots differed by no more than one section between arms.</w:t>
      </w:r>
    </w:p>
    <w:p>
      <w:pPr>
        <w:numPr>
          <w:ilvl w:val="0"/>
          <w:numId w:val="1015"/>
        </w:numPr>
        <w:pStyle w:val="Compact"/>
      </w:pPr>
      <w:r>
        <w:rPr>
          <w:bCs/>
          <w:b/>
        </w:rPr>
        <w:t xml:space="preserve">Balance-optimized selection.</w:t>
      </w:r>
      <w:r>
        <w:t xml:space="preserve"> </w:t>
      </w:r>
      <w:r>
        <w:t xml:space="preserve">Among the eligible allocations, the one with the smallest imbalance score was selected. The imbalance score was the sum, across pairs of arms, of the absolute standardized differences in section means for five prognostic factors: GPA, baseline knowledge (PNNKT, available immediately after computer-based scoring), English course grade, number of previous simulation sessions, and previous mind-map use. Ties were broken by timetable order. The rule contains no random element.</w:t>
      </w:r>
    </w:p>
    <w:p>
      <w:pPr>
        <w:pStyle w:val="FirstParagraph"/>
      </w:pPr>
      <w:r>
        <w:t xml:space="preserve">Baseline clinical reasoning scores could not be used in the imbalance score, because they were rated only after all data had been collected (Section 2.16). The rule was implemented in a prespecified R script. The script, the number of eligible allocations, and the balance achieved are reported in Supplementary S7.</w:t>
      </w:r>
    </w:p>
    <w:p>
      <w:pPr>
        <w:pStyle w:val="BodyText"/>
      </w:pPr>
      <w:r>
        <w:rPr>
          <w:bCs/>
          <w:b/>
        </w:rPr>
        <w:t xml:space="preserve">What the rule does and does not achieve.</w:t>
      </w:r>
      <w:r>
        <w:t xml:space="preserve"> </w:t>
      </w:r>
      <w:r>
        <w:t xml:space="preserve">The rule produces close balance on measured prognostic factors and on design features of the timetable. Unlike randomization, it cannot be expected to balance unmeasured factors. Unmeasured confounding was therefore addressed in the analysis (Section 2.18.8).</w:t>
      </w:r>
    </w:p>
    <w:p>
      <w:pPr>
        <w:pStyle w:val="BodyText"/>
      </w:pPr>
      <w:r>
        <w:rPr>
          <w:bCs/>
          <w:b/>
        </w:rPr>
        <w:t xml:space="preserve">Concealment of allocation.</w:t>
      </w:r>
      <w:r>
        <w:t xml:space="preserve"> </w:t>
      </w:r>
      <w:r>
        <w:t xml:space="preserve">Allocation was disclosed only to the course coordinator and the facilitators, on 12 February 2026. It was concealed from simulation instructors, assessment staff, outcome raters, data managers, and the study statistician. Because allocation was made after consent and baseline assessment, neither could be influenced by knowledge of the allocation.</w:t>
      </w:r>
    </w:p>
    <w:p>
      <w:pPr>
        <w:pStyle w:val="BodyText"/>
      </w:pPr>
      <w:r>
        <w:rPr>
          <w:bCs/>
          <w:b/>
        </w:rPr>
        <w:t xml:space="preserve">Post-instruction schedule.</w:t>
      </w:r>
      <w:r>
        <w:t xml:space="preserve"> </w:t>
      </w:r>
      <w:r>
        <w:t xml:space="preserve">The post-instruction assessment schedule was also fixed by the prespecified rule. The 15 sections were arranged in five assessment rounds, each consisting of one facilitator’s three sections (one section from each arm). The order of arms within rounds followed a Latin-square sequence, so that each arm was assessed first, second, and third within a round at least once. This design balances the post-instruction assessment date, the interval since teaching, and any risk of later information leakage across arms. The full section × day × time slot × facilitator × arm × assessment-round table is given in Supplementary Table S7.</w:t>
      </w:r>
    </w:p>
    <w:bookmarkEnd w:id="24"/>
    <w:bookmarkStart w:id="25" w:name="masking"/>
    <w:p>
      <w:pPr>
        <w:pStyle w:val="Heading2"/>
      </w:pPr>
      <w:r>
        <w:t xml:space="preserve">2.6. Masking</w:t>
      </w:r>
    </w:p>
    <w:p>
      <w:pPr>
        <w:pStyle w:val="FirstParagraph"/>
      </w:pPr>
      <w:r>
        <w:t xml:space="preserve">Students and facilitators could not be masked to the learning activity, and the course coordinator knew the allocation by role. All other personnel were masked to allocation:</w:t>
      </w:r>
    </w:p>
    <w:p>
      <w:pPr>
        <w:numPr>
          <w:ilvl w:val="0"/>
          <w:numId w:val="1019"/>
        </w:numPr>
        <w:pStyle w:val="Compact"/>
      </w:pPr>
      <w:r>
        <w:t xml:space="preserve">simulation instructors;</w:t>
      </w:r>
    </w:p>
    <w:p>
      <w:pPr>
        <w:numPr>
          <w:ilvl w:val="0"/>
          <w:numId w:val="1019"/>
        </w:numPr>
        <w:pStyle w:val="Compact"/>
      </w:pPr>
      <w:r>
        <w:t xml:space="preserve">standardized parents and simulated physicians;</w:t>
      </w:r>
    </w:p>
    <w:p>
      <w:pPr>
        <w:numPr>
          <w:ilvl w:val="0"/>
          <w:numId w:val="1019"/>
        </w:numPr>
        <w:pStyle w:val="Compact"/>
      </w:pPr>
      <w:r>
        <w:t xml:space="preserve">assessment proctors and skills-station staff;</w:t>
      </w:r>
    </w:p>
    <w:p>
      <w:pPr>
        <w:numPr>
          <w:ilvl w:val="0"/>
          <w:numId w:val="1019"/>
        </w:numPr>
        <w:pStyle w:val="Compact"/>
      </w:pPr>
      <w:r>
        <w:t xml:space="preserve">outcome raters;</w:t>
      </w:r>
    </w:p>
    <w:p>
      <w:pPr>
        <w:numPr>
          <w:ilvl w:val="0"/>
          <w:numId w:val="1019"/>
        </w:numPr>
        <w:pStyle w:val="Compact"/>
      </w:pPr>
      <w:r>
        <w:t xml:space="preserve">data managers; and</w:t>
      </w:r>
    </w:p>
    <w:p>
      <w:pPr>
        <w:numPr>
          <w:ilvl w:val="0"/>
          <w:numId w:val="1019"/>
        </w:numPr>
        <w:pStyle w:val="Compact"/>
      </w:pPr>
      <w:r>
        <w:t xml:space="preserve">the study statistician.</w:t>
      </w:r>
    </w:p>
    <w:p>
      <w:pPr>
        <w:pStyle w:val="FirstParagraph"/>
      </w:pPr>
      <w:r>
        <w:rPr>
          <w:bCs/>
          <w:b/>
        </w:rPr>
        <w:t xml:space="preserve">Procedures to protect masking:</w:t>
      </w:r>
    </w:p>
    <w:p>
      <w:pPr>
        <w:numPr>
          <w:ilvl w:val="0"/>
          <w:numId w:val="1020"/>
        </w:numPr>
        <w:pStyle w:val="Compact"/>
      </w:pPr>
      <w:r>
        <w:t xml:space="preserve">The allocation list was held only by the methodologist who applied the allocation rule and by the course coordinator.</w:t>
      </w:r>
    </w:p>
    <w:p>
      <w:pPr>
        <w:numPr>
          <w:ilvl w:val="0"/>
          <w:numId w:val="1020"/>
        </w:numPr>
        <w:pStyle w:val="Compact"/>
      </w:pPr>
      <w:r>
        <w:t xml:space="preserve">All schedules identified sections by neutral codes.</w:t>
      </w:r>
    </w:p>
    <w:p>
      <w:pPr>
        <w:numPr>
          <w:ilvl w:val="0"/>
          <w:numId w:val="1020"/>
        </w:numPr>
        <w:pStyle w:val="Compact"/>
      </w:pPr>
      <w:r>
        <w:t xml:space="preserve">Students’ arm-specific work products never entered the simulation rooms (Section 2.9), and facilitators were not present in the simulation rooms.</w:t>
      </w:r>
    </w:p>
    <w:p>
      <w:pPr>
        <w:numPr>
          <w:ilvl w:val="0"/>
          <w:numId w:val="1020"/>
        </w:numPr>
        <w:pStyle w:val="Compact"/>
      </w:pPr>
      <w:r>
        <w:t xml:space="preserve">Before every simulation and assessment, students were reminded not to mention their learning activity. Any disclosure was logged.</w:t>
      </w:r>
    </w:p>
    <w:p>
      <w:pPr>
        <w:numPr>
          <w:ilvl w:val="0"/>
          <w:numId w:val="1020"/>
        </w:numPr>
        <w:pStyle w:val="Compact"/>
      </w:pPr>
      <w:r>
        <w:t xml:space="preserve">Video files were renamed with random codes. Baseline and post-instruction recordings were pooled and assigned to raters in random order only after all data collection had ended. Date and time overlays were removed so that recordings did not reveal the assessment occasion.</w:t>
      </w:r>
    </w:p>
    <w:p>
      <w:pPr>
        <w:numPr>
          <w:ilvl w:val="0"/>
          <w:numId w:val="1020"/>
        </w:numPr>
        <w:pStyle w:val="Compact"/>
      </w:pPr>
      <w:r>
        <w:t xml:space="preserve">The statistician analyzed the data with arms coded X, Y, and Z, and estimated all three pairwise contrasts while masked. The code key was held by the data manager and released only after the final SAP had been posted and the masked results of the primary model had been archived.</w:t>
      </w:r>
    </w:p>
    <w:p>
      <w:pPr>
        <w:pStyle w:val="FirstParagraph"/>
      </w:pPr>
      <w:r>
        <w:rPr>
          <w:bCs/>
          <w:b/>
        </w:rPr>
        <w:t xml:space="preserve">Assessing whether masking succeeded.</w:t>
      </w:r>
      <w:r>
        <w:t xml:space="preserve"> </w:t>
      </w:r>
      <w:r>
        <w:t xml:space="preserve">Three groups recorded their guess of each student’s or section’s arm, with a</w:t>
      </w:r>
      <w:r>
        <w:t xml:space="preserve"> </w:t>
      </w:r>
      <w:r>
        <w:t xml:space="preserve">“</w:t>
      </w:r>
      <w:r>
        <w:t xml:space="preserve">don’t know</w:t>
      </w:r>
      <w:r>
        <w:t xml:space="preserve">”</w:t>
      </w:r>
      <w:r>
        <w:t xml:space="preserve"> </w:t>
      </w:r>
      <w:r>
        <w:t xml:space="preserve">option:</w:t>
      </w:r>
    </w:p>
    <w:p>
      <w:pPr>
        <w:numPr>
          <w:ilvl w:val="0"/>
          <w:numId w:val="1021"/>
        </w:numPr>
        <w:pStyle w:val="Compact"/>
      </w:pPr>
      <w:r>
        <w:t xml:space="preserve">simulation instructors, at the end of each simulation block;</w:t>
      </w:r>
    </w:p>
    <w:p>
      <w:pPr>
        <w:numPr>
          <w:ilvl w:val="0"/>
          <w:numId w:val="1021"/>
        </w:numPr>
        <w:pStyle w:val="Compact"/>
      </w:pPr>
      <w:r>
        <w:t xml:space="preserve">assessment proctors; and</w:t>
      </w:r>
    </w:p>
    <w:p>
      <w:pPr>
        <w:numPr>
          <w:ilvl w:val="0"/>
          <w:numId w:val="1021"/>
        </w:numPr>
        <w:pStyle w:val="Compact"/>
      </w:pPr>
      <w:r>
        <w:t xml:space="preserve">outcome raters, after each recording (raters also guessed the assessment occasion).</w:t>
      </w:r>
    </w:p>
    <w:p>
      <w:pPr>
        <w:pStyle w:val="FirstParagraph"/>
      </w:pPr>
      <w:r>
        <w:t xml:space="preserve">Masking was summarized with James’ blinding index for the overall guesses (James et al., 1996). Bang’s index was calculated for each arm compared with the other two, and for assessment occasion (Bang et al., 2004).</w:t>
      </w:r>
    </w:p>
    <w:bookmarkEnd w:id="25"/>
    <w:bookmarkStart w:id="26" w:name="educational-materials-and-cases"/>
    <w:p>
      <w:pPr>
        <w:pStyle w:val="Heading2"/>
      </w:pPr>
      <w:r>
        <w:t xml:space="preserve">2.7. Educational Materials and Cases</w:t>
      </w:r>
    </w:p>
    <w:p>
      <w:pPr>
        <w:pStyle w:val="FirstParagraph"/>
      </w:pPr>
      <w:r>
        <w:rPr>
          <w:bCs/>
          <w:b/>
        </w:rPr>
        <w:t xml:space="preserve">Curriculum blueprint.</w:t>
      </w:r>
      <w:r>
        <w:t xml:space="preserve"> </w:t>
      </w:r>
      <w:r>
        <w:t xml:space="preserve">The research team developed a blueprint linking the six learning objectives to four session topics (Supplementary Table S2):</w:t>
      </w:r>
    </w:p>
    <w:p>
      <w:pPr>
        <w:numPr>
          <w:ilvl w:val="0"/>
          <w:numId w:val="1022"/>
        </w:numPr>
        <w:pStyle w:val="Compact"/>
      </w:pPr>
      <w:r>
        <w:t xml:space="preserve">Neurological assessment and mild TBI in the emergency department</w:t>
      </w:r>
    </w:p>
    <w:p>
      <w:pPr>
        <w:numPr>
          <w:ilvl w:val="0"/>
          <w:numId w:val="1022"/>
        </w:numPr>
        <w:pStyle w:val="Compact"/>
      </w:pPr>
      <w:r>
        <w:t xml:space="preserve">Recognizing deterioration and raised intracranial pressure</w:t>
      </w:r>
    </w:p>
    <w:p>
      <w:pPr>
        <w:numPr>
          <w:ilvl w:val="0"/>
          <w:numId w:val="1022"/>
        </w:numPr>
        <w:pStyle w:val="Compact"/>
      </w:pPr>
      <w:r>
        <w:t xml:space="preserve">Severe TBI: preventing secondary brain injury and escalating care</w:t>
      </w:r>
    </w:p>
    <w:p>
      <w:pPr>
        <w:numPr>
          <w:ilvl w:val="0"/>
          <w:numId w:val="1022"/>
        </w:numPr>
        <w:pStyle w:val="Compact"/>
      </w:pPr>
      <w:r>
        <w:t xml:space="preserve">Ongoing ward care, family-centered communication, and discharge</w:t>
      </w:r>
    </w:p>
    <w:p>
      <w:pPr>
        <w:pStyle w:val="FirstParagraph"/>
      </w:pPr>
      <w:r>
        <w:t xml:space="preserve">The team comprised three pediatric nursing faculty members, one pediatric critical care nurse specialist, and one pediatric neurosurgeon. Case content was checked against the guidance cited in Section 2.3.</w:t>
      </w:r>
    </w:p>
    <w:p>
      <w:pPr>
        <w:pStyle w:val="BodyText"/>
      </w:pPr>
      <w:r>
        <w:rPr>
          <w:bCs/>
          <w:b/>
        </w:rPr>
        <w:t xml:space="preserve">Cases.</w:t>
      </w:r>
      <w:r>
        <w:t xml:space="preserve"> </w:t>
      </w:r>
      <w:r>
        <w:t xml:space="preserve">There were 21 fictional cases, none containing identifiable patient information:</w:t>
      </w:r>
    </w:p>
    <w:p>
      <w:pPr>
        <w:numPr>
          <w:ilvl w:val="0"/>
          <w:numId w:val="1023"/>
        </w:numPr>
        <w:pStyle w:val="Compact"/>
      </w:pPr>
      <w:r>
        <w:t xml:space="preserve">13 teaching cases: one orientation case on pediatric dehydration, plus three cases for each session (a paper-based index case and two simulation variants); and</w:t>
      </w:r>
    </w:p>
    <w:p>
      <w:pPr>
        <w:numPr>
          <w:ilvl w:val="0"/>
          <w:numId w:val="1023"/>
        </w:numPr>
        <w:pStyle w:val="Compact"/>
      </w:pPr>
      <w:r>
        <w:t xml:space="preserve">8 assessment cases (Section 2.13).</w:t>
      </w:r>
    </w:p>
    <w:p>
      <w:pPr>
        <w:pStyle w:val="FirstParagraph"/>
      </w:pPr>
      <w:r>
        <w:t xml:space="preserve">Developmental stage, mechanism of injury, severity, setting, and key cues varied systematically across cases. The assessment cases were written by a separate two-member subgroup and were never shown to facilitators or simulation instructors. This prevented teaching aimed at specific assessment cases.</w:t>
      </w:r>
    </w:p>
    <w:p>
      <w:pPr>
        <w:pStyle w:val="BodyText"/>
      </w:pPr>
      <w:r>
        <w:rPr>
          <w:bCs/>
          <w:b/>
        </w:rPr>
        <w:t xml:space="preserve">Pre-class materials (identical across arms).</w:t>
      </w:r>
      <w:r>
        <w:t xml:space="preserve"> </w:t>
      </w:r>
      <w:r>
        <w:t xml:space="preserve">For each session, students received the following through the faculty learning management system (LMS):</w:t>
      </w:r>
    </w:p>
    <w:p>
      <w:pPr>
        <w:numPr>
          <w:ilvl w:val="0"/>
          <w:numId w:val="1024"/>
        </w:numPr>
        <w:pStyle w:val="Compact"/>
      </w:pPr>
      <w:r>
        <w:t xml:space="preserve">a narrated slide presentation (about 25 minutes);</w:t>
      </w:r>
    </w:p>
    <w:p>
      <w:pPr>
        <w:numPr>
          <w:ilvl w:val="0"/>
          <w:numId w:val="1024"/>
        </w:numPr>
        <w:pStyle w:val="Compact"/>
      </w:pPr>
      <w:r>
        <w:t xml:space="preserve">a 5-page reading guide; and</w:t>
      </w:r>
    </w:p>
    <w:p>
      <w:pPr>
        <w:numPr>
          <w:ilvl w:val="0"/>
          <w:numId w:val="1024"/>
        </w:numPr>
        <w:pStyle w:val="Compact"/>
      </w:pPr>
      <w:r>
        <w:t xml:space="preserve">a short, non-graded self-check quiz.</w:t>
      </w:r>
    </w:p>
    <w:p>
      <w:pPr>
        <w:pStyle w:val="FirstParagraph"/>
      </w:pPr>
      <w:r>
        <w:t xml:space="preserve">Each package required about 60 minutes. The packages contained no mind maps and no worksheets.</w:t>
      </w:r>
    </w:p>
    <w:p>
      <w:pPr>
        <w:pStyle w:val="BodyText"/>
      </w:pPr>
      <w:r>
        <w:rPr>
          <w:bCs/>
          <w:b/>
        </w:rPr>
        <w:t xml:space="preserve">Arm-specific guides.</w:t>
      </w:r>
      <w:r>
        <w:t xml:space="preserve"> </w:t>
      </w:r>
      <w:r>
        <w:t xml:space="preserve">At orientation, each arm received a two-page guide of matched length:</w:t>
      </w:r>
    </w:p>
    <w:p>
      <w:pPr>
        <w:numPr>
          <w:ilvl w:val="0"/>
          <w:numId w:val="1025"/>
        </w:numPr>
        <w:pStyle w:val="Compact"/>
      </w:pPr>
      <w:r>
        <w:t xml:space="preserve">an annotation guide (AI-assisted map arm);</w:t>
      </w:r>
    </w:p>
    <w:p>
      <w:pPr>
        <w:numPr>
          <w:ilvl w:val="0"/>
          <w:numId w:val="1025"/>
        </w:numPr>
        <w:pStyle w:val="Compact"/>
      </w:pPr>
      <w:r>
        <w:t xml:space="preserve">a map-construction guide (student-map arm); or</w:t>
      </w:r>
    </w:p>
    <w:p>
      <w:pPr>
        <w:numPr>
          <w:ilvl w:val="0"/>
          <w:numId w:val="1025"/>
        </w:numPr>
        <w:pStyle w:val="Compact"/>
      </w:pPr>
      <w:r>
        <w:t xml:space="preserve">a worksheet guide (worksheet arm).</w:t>
      </w:r>
    </w:p>
    <w:p>
      <w:pPr>
        <w:pStyle w:val="FirstParagraph"/>
      </w:pPr>
      <w:r>
        <w:t xml:space="preserve">The guides are provided in Supplementary S4.</w:t>
      </w:r>
    </w:p>
    <w:p>
      <w:pPr>
        <w:pStyle w:val="BodyText"/>
      </w:pPr>
      <w:r>
        <w:rPr>
          <w:bCs/>
          <w:b/>
        </w:rPr>
        <w:t xml:space="preserve">Handling of printed materials.</w:t>
      </w:r>
      <w:r>
        <w:t xml:space="preserve"> </w:t>
      </w:r>
      <w:r>
        <w:t xml:space="preserve">All arm-specific materials were printed on A3 sheets carrying a serial number. A research assistant distributed them in sealed packs at the start of each session. At the end of each session, the materials were collected, counted against the issue list, photographed, and stored. They were returned to students only after post-instruction assessment.</w:t>
      </w:r>
    </w:p>
    <w:bookmarkEnd w:id="26"/>
    <w:bookmarkStart w:id="31" w:name="X6591393f3d9f4a7d21ab131228ef17168959040"/>
    <w:p>
      <w:pPr>
        <w:pStyle w:val="Heading2"/>
      </w:pPr>
      <w:r>
        <w:t xml:space="preserve">2.8. Generation and Clinical Review of the AI-Assisted Maps</w:t>
      </w:r>
    </w:p>
    <w:bookmarkStart w:id="27" w:name="generation"/>
    <w:p>
      <w:pPr>
        <w:pStyle w:val="Heading3"/>
      </w:pPr>
      <w:r>
        <w:t xml:space="preserve">2.8.1. Generation</w:t>
      </w:r>
    </w:p>
    <w:p>
      <w:pPr>
        <w:pStyle w:val="FirstParagraph"/>
      </w:pPr>
      <w:r>
        <w:t xml:space="preserve">Two educators generated the maps. They were not facilitators, outcome raters, clinical reviewers, or authors of the assessment cases. They used ChatGPT (GPT-4o; OpenAI, San Francisco, CA), selected explicitly in the web interface on a paid subscription, between 5 and 8 January 2026.</w:t>
      </w:r>
    </w:p>
    <w:p>
      <w:pPr>
        <w:numPr>
          <w:ilvl w:val="0"/>
          <w:numId w:val="1026"/>
        </w:numPr>
        <w:pStyle w:val="Compact"/>
      </w:pPr>
      <w:r>
        <w:rPr>
          <w:bCs/>
          <w:b/>
        </w:rPr>
        <w:t xml:space="preserve">Settings.</w:t>
      </w:r>
      <w:r>
        <w:t xml:space="preserve"> </w:t>
      </w:r>
      <w:r>
        <w:t xml:space="preserve">The interface does not allow users to adjust generation parameters such as temperature, so default settings applied. Each generation was run in a new temporary chat, with memory, chat history, and custom instructions disabled.</w:t>
      </w:r>
    </w:p>
    <w:p>
      <w:pPr>
        <w:numPr>
          <w:ilvl w:val="0"/>
          <w:numId w:val="1026"/>
        </w:numPr>
        <w:pStyle w:val="Compact"/>
      </w:pPr>
      <w:r>
        <w:rPr>
          <w:bCs/>
          <w:b/>
        </w:rPr>
        <w:t xml:space="preserve">Input.</w:t>
      </w:r>
      <w:r>
        <w:t xml:space="preserve"> </w:t>
      </w:r>
      <w:r>
        <w:t xml:space="preserve">The input for each map was the fictional index case, the session learning objectives, the eight Clinical Reasoning Cycle headings, and a team-written summary of the relevant guideline points (about 400 words). It also included formatting constraints: a hierarchical outline of no more than three levels, with keyword nodes of no more than eight words. No student data or copyrighted text was entered. The complete prompt is reported in Supplementary S2.</w:t>
      </w:r>
    </w:p>
    <w:p>
      <w:pPr>
        <w:numPr>
          <w:ilvl w:val="0"/>
          <w:numId w:val="1026"/>
        </w:numPr>
        <w:pStyle w:val="Compact"/>
      </w:pPr>
      <w:r>
        <w:rPr>
          <w:bCs/>
          <w:b/>
        </w:rPr>
        <w:t xml:space="preserve">Selection.</w:t>
      </w:r>
      <w:r>
        <w:t xml:space="preserve"> </w:t>
      </w:r>
      <w:r>
        <w:t xml:space="preserve">Three independent generations were produced for each case, giving 15 raw outputs. The two educators independently scored every generation with the Mind-Map Clinical Quality Checklist (Supplementary Table S6). The generation with the highest mean score went forward to clinical review. Ties and discrepant rankings were resolved by discussion. All raw outputs were archived with time stamps.</w:t>
      </w:r>
    </w:p>
    <w:bookmarkEnd w:id="27"/>
    <w:bookmarkStart w:id="28" w:name="conversion-to-map-format"/>
    <w:p>
      <w:pPr>
        <w:pStyle w:val="Heading3"/>
      </w:pPr>
      <w:r>
        <w:t xml:space="preserve">2.8.2. Conversion to Map Format</w:t>
      </w:r>
    </w:p>
    <w:p>
      <w:pPr>
        <w:pStyle w:val="FirstParagraph"/>
      </w:pPr>
      <w:r>
        <w:t xml:space="preserve">The selected outline was converted into a radial mind-map layout using Markmap (open source). Changes to formatting (layout, colors, icons) were logged separately from changes to content. This separation makes it possible to distinguish AI-generated content from human editing.</w:t>
      </w:r>
    </w:p>
    <w:bookmarkEnd w:id="28"/>
    <w:bookmarkStart w:id="29" w:name="clinical-review"/>
    <w:p>
      <w:pPr>
        <w:pStyle w:val="Heading3"/>
      </w:pPr>
      <w:r>
        <w:t xml:space="preserve">2.8.3. Clinical Review</w:t>
      </w:r>
    </w:p>
    <w:p>
      <w:pPr>
        <w:pStyle w:val="FirstParagraph"/>
      </w:pPr>
      <w:r>
        <w:rPr>
          <w:bCs/>
          <w:b/>
        </w:rPr>
        <w:t xml:space="preserve">Reviewers.</w:t>
      </w:r>
      <w:r>
        <w:t xml:space="preserve"> </w:t>
      </w:r>
      <w:r>
        <w:t xml:space="preserve">Three reviewers checked each selected map node by node: a professor of pediatric nursing from another university, a pediatric critical care nurse specialist, and a pediatric neurosurgeon. Each had at least 10 years’ experience. None was part of the research team or had any role in teaching or assessment.</w:t>
      </w:r>
    </w:p>
    <w:p>
      <w:pPr>
        <w:pStyle w:val="BodyText"/>
      </w:pPr>
      <w:r>
        <w:rPr>
          <w:bCs/>
          <w:b/>
        </w:rPr>
        <w:t xml:space="preserve">Review criteria.</w:t>
      </w:r>
      <w:r>
        <w:t xml:space="preserve"> </w:t>
      </w:r>
      <w:r>
        <w:t xml:space="preserve">Reviewers used the checklist, which covers:</w:t>
      </w:r>
    </w:p>
    <w:p>
      <w:pPr>
        <w:numPr>
          <w:ilvl w:val="0"/>
          <w:numId w:val="1027"/>
        </w:numPr>
        <w:pStyle w:val="Compact"/>
      </w:pPr>
      <w:r>
        <w:t xml:space="preserve">factual accuracy;</w:t>
      </w:r>
    </w:p>
    <w:p>
      <w:pPr>
        <w:numPr>
          <w:ilvl w:val="0"/>
          <w:numId w:val="1027"/>
        </w:numPr>
        <w:pStyle w:val="Compact"/>
      </w:pPr>
      <w:r>
        <w:t xml:space="preserve">agreement with the cited guidance;</w:t>
      </w:r>
    </w:p>
    <w:p>
      <w:pPr>
        <w:numPr>
          <w:ilvl w:val="0"/>
          <w:numId w:val="1027"/>
        </w:numPr>
        <w:pStyle w:val="Compact"/>
      </w:pPr>
      <w:r>
        <w:t xml:space="preserve">age-appropriateness of normal values and interventions;</w:t>
      </w:r>
    </w:p>
    <w:p>
      <w:pPr>
        <w:numPr>
          <w:ilvl w:val="0"/>
          <w:numId w:val="1027"/>
        </w:numPr>
        <w:pStyle w:val="Compact"/>
      </w:pPr>
      <w:r>
        <w:t xml:space="preserve">consistency with the nursing scope of practice;</w:t>
      </w:r>
    </w:p>
    <w:p>
      <w:pPr>
        <w:numPr>
          <w:ilvl w:val="0"/>
          <w:numId w:val="1027"/>
        </w:numPr>
        <w:pStyle w:val="Compact"/>
      </w:pPr>
      <w:r>
        <w:t xml:space="preserve">safety and correct ordering of priorities;</w:t>
      </w:r>
    </w:p>
    <w:p>
      <w:pPr>
        <w:numPr>
          <w:ilvl w:val="0"/>
          <w:numId w:val="1027"/>
        </w:numPr>
        <w:pStyle w:val="Compact"/>
      </w:pPr>
      <w:r>
        <w:t xml:space="preserve">omission of critical cues or actions; and</w:t>
      </w:r>
    </w:p>
    <w:p>
      <w:pPr>
        <w:numPr>
          <w:ilvl w:val="0"/>
          <w:numId w:val="1027"/>
        </w:numPr>
        <w:pStyle w:val="Compact"/>
      </w:pPr>
      <w:r>
        <w:t xml:space="preserve">clarity.</w:t>
      </w:r>
    </w:p>
    <w:p>
      <w:pPr>
        <w:pStyle w:val="FirstParagraph"/>
      </w:pPr>
      <w:r>
        <w:rPr>
          <w:bCs/>
          <w:b/>
        </w:rPr>
        <w:t xml:space="preserve">Review process.</w:t>
      </w:r>
      <w:r>
        <w:t xml:space="preserve"> </w:t>
      </w:r>
      <w:r>
        <w:t xml:space="preserve">For every AI-generated node, each reviewer independently chose to retain, modify, or delete it. Each reviewer also listed omissions as proposed additions. Disagreements were resolved at a consensus meeting on 15 January 2026. Every change was recorded in an error log under one of six categories:</w:t>
      </w:r>
    </w:p>
    <w:p>
      <w:pPr>
        <w:numPr>
          <w:ilvl w:val="0"/>
          <w:numId w:val="1028"/>
        </w:numPr>
        <w:pStyle w:val="Compact"/>
      </w:pPr>
      <w:r>
        <w:t xml:space="preserve">factual error;</w:t>
      </w:r>
    </w:p>
    <w:p>
      <w:pPr>
        <w:numPr>
          <w:ilvl w:val="0"/>
          <w:numId w:val="1028"/>
        </w:numPr>
        <w:pStyle w:val="Compact"/>
      </w:pPr>
      <w:r>
        <w:t xml:space="preserve">unsafe or mis-ordered priority;</w:t>
      </w:r>
    </w:p>
    <w:p>
      <w:pPr>
        <w:numPr>
          <w:ilvl w:val="0"/>
          <w:numId w:val="1028"/>
        </w:numPr>
        <w:pStyle w:val="Compact"/>
      </w:pPr>
      <w:r>
        <w:t xml:space="preserve">unsupported content;</w:t>
      </w:r>
    </w:p>
    <w:p>
      <w:pPr>
        <w:numPr>
          <w:ilvl w:val="0"/>
          <w:numId w:val="1028"/>
        </w:numPr>
        <w:pStyle w:val="Compact"/>
      </w:pPr>
      <w:r>
        <w:t xml:space="preserve">omission;</w:t>
      </w:r>
    </w:p>
    <w:p>
      <w:pPr>
        <w:numPr>
          <w:ilvl w:val="0"/>
          <w:numId w:val="1028"/>
        </w:numPr>
        <w:pStyle w:val="Compact"/>
      </w:pPr>
      <w:r>
        <w:t xml:space="preserve">outside the nursing scope of practice; or</w:t>
      </w:r>
    </w:p>
    <w:p>
      <w:pPr>
        <w:numPr>
          <w:ilvl w:val="0"/>
          <w:numId w:val="1028"/>
        </w:numPr>
        <w:pStyle w:val="Compact"/>
      </w:pPr>
      <w:r>
        <w:t xml:space="preserve">not age-appropriate.</w:t>
      </w:r>
    </w:p>
    <w:p>
      <w:pPr>
        <w:pStyle w:val="FirstParagraph"/>
      </w:pPr>
      <w:r>
        <w:rPr>
          <w:bCs/>
          <w:b/>
        </w:rPr>
        <w:t xml:space="preserve">Freeze.</w:t>
      </w:r>
      <w:r>
        <w:t xml:space="preserve"> </w:t>
      </w:r>
      <w:r>
        <w:t xml:space="preserve">The final maps were approved, numbered by version, and frozen for content on 19 January 2026. During the teaching rehearsal (Section 2.15), only layout changes were permitted.</w:t>
      </w:r>
    </w:p>
    <w:p>
      <w:pPr>
        <w:pStyle w:val="BodyText"/>
      </w:pPr>
      <w:r>
        <w:rPr>
          <w:bCs/>
          <w:b/>
        </w:rPr>
        <w:t xml:space="preserve">Agreement and reporting.</w:t>
      </w:r>
      <w:r>
        <w:t xml:space="preserve"> </w:t>
      </w:r>
      <w:r>
        <w:t xml:space="preserve">Agreement among reviewers on the three-category decision for AI-generated nodes was assessed with Fleiss’ kappa. Proposed additions do not apply to existing nodes, so they were excluded from kappa. Instead, they are reported as the number per reviewer and the proportion endorsed at consensus. To make the AI contribution transparent, every node of each final map is reported by origin: AI-generated and unchanged, AI-generated and modified, or added by experts. Five maps were reviewed (four neurotrauma maps and one orientation map on dehydration); neurotrauma maps are reported separately from the orientation map.</w:t>
      </w:r>
    </w:p>
    <w:p>
      <w:pPr>
        <w:pStyle w:val="BodyText"/>
      </w:pPr>
      <w:r>
        <w:rPr>
          <w:bCs/>
          <w:b/>
        </w:rPr>
        <w:t xml:space="preserve">Labeling.</w:t>
      </w:r>
      <w:r>
        <w:t xml:space="preserve"> </w:t>
      </w:r>
      <w:r>
        <w:t xml:space="preserve">Each map carried the label</w:t>
      </w:r>
      <w:r>
        <w:t xml:space="preserve"> </w:t>
      </w:r>
      <w:r>
        <w:t xml:space="preserve">“</w:t>
      </w:r>
      <w:r>
        <w:t xml:space="preserve">Prepared with generative-AI assistance; reviewed and approved by clinical experts.</w:t>
      </w:r>
      <w:r>
        <w:t xml:space="preserve">”</w:t>
      </w:r>
    </w:p>
    <w:bookmarkEnd w:id="29"/>
    <w:bookmarkStart w:id="30" w:name="materials-substudy"/>
    <w:p>
      <w:pPr>
        <w:pStyle w:val="Heading3"/>
      </w:pPr>
      <w:r>
        <w:t xml:space="preserve">2.8.4. Materials Substudy</w:t>
      </w:r>
    </w:p>
    <w:p>
      <w:pPr>
        <w:pStyle w:val="FirstParagraph"/>
      </w:pPr>
      <w:r>
        <w:t xml:space="preserve">This substudy estimated what generative AI contributed to producing the materials, which the student-level comparison cannot do.</w:t>
      </w:r>
    </w:p>
    <w:p>
      <w:pPr>
        <w:pStyle w:val="BodyText"/>
      </w:pPr>
      <w:r>
        <w:rPr>
          <w:bCs/>
          <w:b/>
        </w:rPr>
        <w:t xml:space="preserve">Expert-authored maps.</w:t>
      </w:r>
      <w:r>
        <w:t xml:space="preserve"> </w:t>
      </w:r>
      <w:r>
        <w:t xml:space="preserve">Two pediatric nursing educators who had no other role in the study each wrote a map for every neurotrauma index case without AI. They used the same inputs and constraints as the AI generation, and their working time was recorded. The time spent on prompting, selecting outputs, and clinical review of the AI maps was also recorded.</w:t>
      </w:r>
    </w:p>
    <w:p>
      <w:pPr>
        <w:pStyle w:val="BodyText"/>
      </w:pPr>
      <w:r>
        <w:rPr>
          <w:bCs/>
          <w:b/>
        </w:rPr>
        <w:t xml:space="preserve">Masked comparison.</w:t>
      </w:r>
      <w:r>
        <w:t xml:space="preserve"> </w:t>
      </w:r>
      <w:r>
        <w:t xml:space="preserve">A separate panel of three pediatric nurse educators, masked to the origin of each map, rated three versions of each case with the checklist:</w:t>
      </w:r>
    </w:p>
    <w:p>
      <w:pPr>
        <w:numPr>
          <w:ilvl w:val="0"/>
          <w:numId w:val="1029"/>
        </w:numPr>
        <w:pStyle w:val="Compact"/>
      </w:pPr>
      <w:r>
        <w:t xml:space="preserve">the selected raw AI output;</w:t>
      </w:r>
    </w:p>
    <w:p>
      <w:pPr>
        <w:numPr>
          <w:ilvl w:val="0"/>
          <w:numId w:val="1029"/>
        </w:numPr>
        <w:pStyle w:val="Compact"/>
      </w:pPr>
      <w:r>
        <w:t xml:space="preserve">the final reviewed AI-assisted map; and</w:t>
      </w:r>
    </w:p>
    <w:p>
      <w:pPr>
        <w:numPr>
          <w:ilvl w:val="0"/>
          <w:numId w:val="1029"/>
        </w:numPr>
        <w:pStyle w:val="Compact"/>
      </w:pPr>
      <w:r>
        <w:t xml:space="preserve">the two expert-authored maps.</w:t>
      </w:r>
    </w:p>
    <w:p>
      <w:pPr>
        <w:pStyle w:val="FirstParagraph"/>
      </w:pPr>
      <w:r>
        <w:t xml:space="preserve">All versions were presented in random order, in the same Markmap format, with any label showing their origin removed.</w:t>
      </w:r>
    </w:p>
    <w:p>
      <w:pPr>
        <w:pStyle w:val="BodyText"/>
      </w:pPr>
      <w:r>
        <w:rPr>
          <w:bCs/>
          <w:b/>
        </w:rPr>
        <w:t xml:space="preserve">Outcomes and use.</w:t>
      </w:r>
      <w:r>
        <w:t xml:space="preserve"> </w:t>
      </w:r>
      <w:r>
        <w:t xml:space="preserve">The outcomes were checklist scores, the number and type of errors, and the development time in person-minutes. They are summarized descriptively. The expert-authored maps were not used in teaching.</w:t>
      </w:r>
    </w:p>
    <w:bookmarkEnd w:id="30"/>
    <w:bookmarkEnd w:id="31"/>
    <w:bookmarkStart w:id="32" w:name="instructional-strategies-and-delivery"/>
    <w:p>
      <w:pPr>
        <w:pStyle w:val="Heading2"/>
      </w:pPr>
      <w:r>
        <w:t xml:space="preserve">2.9. Instructional Strategies and Delivery</w:t>
      </w:r>
    </w:p>
    <w:p>
      <w:pPr>
        <w:pStyle w:val="FirstParagraph"/>
      </w:pPr>
      <w:r>
        <w:rPr>
          <w:bCs/>
          <w:b/>
        </w:rPr>
        <w:t xml:space="preserve">Common structure.</w:t>
      </w:r>
      <w:r>
        <w:t xml:space="preserve"> </w:t>
      </w:r>
      <w:r>
        <w:t xml:space="preserve">In week 0, each section had a 30-minute orientation session. Four weekly 180-minute teaching sessions followed. Total contact time was 750 minutes per section in every arm, in addition to about 240 minutes of identical pre-class preparation. The orientation used the dehydration practice case and introduced each arm only to its own representation and guide. It did not include simulation.</w:t>
      </w:r>
    </w:p>
    <w:p>
      <w:pPr>
        <w:pStyle w:val="BodyText"/>
      </w:pPr>
      <w:r>
        <w:t xml:space="preserve">To accommodate Ramadan, sessions were timetabled within the faculty’s official Ramadan teaching hours. Start times were staggered so that only one section used the simulation suite at a time.</w:t>
      </w:r>
    </w:p>
    <w:p>
      <w:pPr>
        <w:pStyle w:val="BodyText"/>
      </w:pPr>
      <w:r>
        <w:rPr>
          <w:bCs/>
          <w:b/>
        </w:rPr>
        <w:t xml:space="preserve">Eight case-analysis headings (all arms).</w:t>
      </w:r>
      <w:r>
        <w:t xml:space="preserve"> </w:t>
      </w:r>
      <w:r>
        <w:t xml:space="preserve">All arms worked with the same eight headings, one for each phase of the Clinical Reasoning Cycle:</w:t>
      </w:r>
    </w:p>
    <w:p>
      <w:pPr>
        <w:numPr>
          <w:ilvl w:val="0"/>
          <w:numId w:val="1030"/>
        </w:numPr>
        <w:pStyle w:val="Compact"/>
      </w:pPr>
      <w:r>
        <w:t xml:space="preserve">The child and the situation</w:t>
      </w:r>
    </w:p>
    <w:p>
      <w:pPr>
        <w:numPr>
          <w:ilvl w:val="0"/>
          <w:numId w:val="1030"/>
        </w:numPr>
        <w:pStyle w:val="Compact"/>
      </w:pPr>
      <w:r>
        <w:t xml:space="preserve">Cues</w:t>
      </w:r>
    </w:p>
    <w:p>
      <w:pPr>
        <w:numPr>
          <w:ilvl w:val="0"/>
          <w:numId w:val="1030"/>
        </w:numPr>
        <w:pStyle w:val="Compact"/>
      </w:pPr>
      <w:r>
        <w:t xml:space="preserve">Interpretation</w:t>
      </w:r>
    </w:p>
    <w:p>
      <w:pPr>
        <w:numPr>
          <w:ilvl w:val="0"/>
          <w:numId w:val="1030"/>
        </w:numPr>
        <w:pStyle w:val="Compact"/>
      </w:pPr>
      <w:r>
        <w:t xml:space="preserve">Prioritized nursing problems</w:t>
      </w:r>
    </w:p>
    <w:p>
      <w:pPr>
        <w:numPr>
          <w:ilvl w:val="0"/>
          <w:numId w:val="1030"/>
        </w:numPr>
        <w:pStyle w:val="Compact"/>
      </w:pPr>
      <w:r>
        <w:t xml:space="preserve">Goals</w:t>
      </w:r>
    </w:p>
    <w:p>
      <w:pPr>
        <w:numPr>
          <w:ilvl w:val="0"/>
          <w:numId w:val="1030"/>
        </w:numPr>
        <w:pStyle w:val="Compact"/>
      </w:pPr>
      <w:r>
        <w:t xml:space="preserve">Actions and rationale, including escalation</w:t>
      </w:r>
    </w:p>
    <w:p>
      <w:pPr>
        <w:numPr>
          <w:ilvl w:val="0"/>
          <w:numId w:val="1030"/>
        </w:numPr>
        <w:pStyle w:val="Compact"/>
      </w:pPr>
      <w:r>
        <w:t xml:space="preserve">Evaluation and reassessment</w:t>
      </w:r>
    </w:p>
    <w:p>
      <w:pPr>
        <w:numPr>
          <w:ilvl w:val="0"/>
          <w:numId w:val="1030"/>
        </w:numPr>
        <w:pStyle w:val="Compact"/>
      </w:pPr>
      <w:r>
        <w:t xml:space="preserve">Reflection: what I would do differently, and why</w:t>
      </w:r>
    </w:p>
    <w:p>
      <w:pPr>
        <w:pStyle w:val="FirstParagraph"/>
      </w:pPr>
      <w:r>
        <w:rPr>
          <w:bCs/>
          <w:b/>
        </w:rPr>
        <w:t xml:space="preserve">Overlap with the primary outcome.</w:t>
      </w:r>
      <w:r>
        <w:t xml:space="preserve"> </w:t>
      </w:r>
      <w:r>
        <w:t xml:space="preserve">The headings correspond to the eight phases scored by the primary outcome rubric. This overlap is unlikely to bias the comparison, for three reasons:</w:t>
      </w:r>
    </w:p>
    <w:p>
      <w:pPr>
        <w:numPr>
          <w:ilvl w:val="0"/>
          <w:numId w:val="1031"/>
        </w:numPr>
        <w:pStyle w:val="Compact"/>
      </w:pPr>
      <w:r>
        <w:t xml:space="preserve">The structure is identical in all arms, so any benefit from familiarity with it is shared.</w:t>
      </w:r>
    </w:p>
    <w:p>
      <w:pPr>
        <w:numPr>
          <w:ilvl w:val="0"/>
          <w:numId w:val="1031"/>
        </w:numPr>
        <w:pStyle w:val="Compact"/>
      </w:pPr>
      <w:r>
        <w:t xml:space="preserve">The assessment prompts do not name the headings (Section 2.13).</w:t>
      </w:r>
    </w:p>
    <w:p>
      <w:pPr>
        <w:numPr>
          <w:ilvl w:val="0"/>
          <w:numId w:val="1031"/>
        </w:numPr>
        <w:pStyle w:val="Compact"/>
      </w:pPr>
      <w:r>
        <w:t xml:space="preserve">Rubric items award credit for case-specific clinical content, not for using the structure.</w:t>
      </w:r>
    </w:p>
    <w:p>
      <w:pPr>
        <w:pStyle w:val="FirstParagraph"/>
      </w:pPr>
      <w:r>
        <w:rPr>
          <w:bCs/>
          <w:b/>
        </w:rPr>
        <w:t xml:space="preserve">Session sequence.</w:t>
      </w:r>
      <w:r>
        <w:t xml:space="preserve"> </w:t>
      </w:r>
      <w:r>
        <w:t xml:space="preserve">The arms differed only in how students worked with the headings during the arm-specific blocks (steps 2–3 and 7 below). Every 180-minute session followed the same timed sequence in all arms:</w:t>
      </w:r>
    </w:p>
    <w:p>
      <w:pPr>
        <w:numPr>
          <w:ilvl w:val="0"/>
          <w:numId w:val="1032"/>
        </w:numPr>
        <w:pStyle w:val="Compact"/>
      </w:pPr>
      <w:r>
        <w:rPr>
          <w:bCs/>
          <w:b/>
        </w:rPr>
        <w:t xml:space="preserve">Readiness check (15 min):</w:t>
      </w:r>
      <w:r>
        <w:t xml:space="preserve"> </w:t>
      </w:r>
      <w:r>
        <w:t xml:space="preserve">a non-graded check of pre-class learning, with clarification of questions.</w:t>
      </w:r>
    </w:p>
    <w:p>
      <w:pPr>
        <w:numPr>
          <w:ilvl w:val="0"/>
          <w:numId w:val="1032"/>
        </w:numPr>
        <w:pStyle w:val="Compact"/>
      </w:pPr>
      <w:r>
        <w:rPr>
          <w:bCs/>
          <w:b/>
        </w:rPr>
        <w:t xml:space="preserve">Individual arm-specific work on the index case (30 min).</w:t>
      </w:r>
    </w:p>
    <w:p>
      <w:pPr>
        <w:numPr>
          <w:ilvl w:val="0"/>
          <w:numId w:val="1032"/>
        </w:numPr>
        <w:pStyle w:val="Compact"/>
      </w:pPr>
      <w:r>
        <w:rPr>
          <w:bCs/>
          <w:b/>
        </w:rPr>
        <w:t xml:space="preserve">Small-group arm-specific work (30 min):</w:t>
      </w:r>
      <w:r>
        <w:t xml:space="preserve"> </w:t>
      </w:r>
      <w:r>
        <w:t xml:space="preserve">the facilitator visited each of the six groups for about 5 minutes and gave feedback against the five shared criteria (below).</w:t>
      </w:r>
    </w:p>
    <w:p>
      <w:pPr>
        <w:numPr>
          <w:ilvl w:val="0"/>
          <w:numId w:val="1032"/>
        </w:numPr>
        <w:pStyle w:val="Compact"/>
      </w:pPr>
      <w:r>
        <w:rPr>
          <w:bCs/>
          <w:b/>
        </w:rPr>
        <w:t xml:space="preserve">Plenary feedback (15 min):</w:t>
      </w:r>
      <w:r>
        <w:t xml:space="preserve"> </w:t>
      </w:r>
      <w:r>
        <w:t xml:space="preserve">feedback to the whole section against the same criteria.</w:t>
      </w:r>
    </w:p>
    <w:p>
      <w:pPr>
        <w:numPr>
          <w:ilvl w:val="0"/>
          <w:numId w:val="1032"/>
        </w:numPr>
        <w:pStyle w:val="Compact"/>
      </w:pPr>
      <w:r>
        <w:rPr>
          <w:bCs/>
          <w:b/>
        </w:rPr>
        <w:t xml:space="preserve">Simulation prebriefing (10 min).</w:t>
      </w:r>
    </w:p>
    <w:p>
      <w:pPr>
        <w:numPr>
          <w:ilvl w:val="0"/>
          <w:numId w:val="1032"/>
        </w:numPr>
        <w:pStyle w:val="Compact"/>
      </w:pPr>
      <w:r>
        <w:rPr>
          <w:bCs/>
          <w:b/>
        </w:rPr>
        <w:t xml:space="preserve">Simulation (50 min):</w:t>
      </w:r>
    </w:p>
    <w:p>
      <w:pPr>
        <w:numPr>
          <w:ilvl w:val="1"/>
          <w:numId w:val="1033"/>
        </w:numPr>
        <w:pStyle w:val="Compact"/>
      </w:pPr>
      <w:r>
        <w:t xml:space="preserve">Each small group used one simulation room and completed two runs. Each run was a 10-minute scenario followed by a 15-minute debriefing using PEARLS (Eppich and Cheng, 2015).</w:t>
      </w:r>
    </w:p>
    <w:p>
      <w:pPr>
        <w:numPr>
          <w:ilvl w:val="1"/>
          <w:numId w:val="1033"/>
        </w:numPr>
        <w:pStyle w:val="Compact"/>
      </w:pPr>
      <w:r>
        <w:t xml:space="preserve">Run 1 used simulation variant A with three active students; run 2 used variant B with two active students. Using two different variants meant that students active in run 2 did not repeat a scenario they had just watched.</w:t>
      </w:r>
    </w:p>
    <w:p>
      <w:pPr>
        <w:numPr>
          <w:ilvl w:val="1"/>
          <w:numId w:val="1033"/>
        </w:numPr>
        <w:pStyle w:val="Compact"/>
      </w:pPr>
      <w:r>
        <w:t xml:space="preserve">Non-active students observed using a structured observer guide.</w:t>
      </w:r>
    </w:p>
    <w:p>
      <w:pPr>
        <w:numPr>
          <w:ilvl w:val="1"/>
          <w:numId w:val="1033"/>
        </w:numPr>
        <w:pStyle w:val="Compact"/>
      </w:pPr>
      <w:r>
        <w:t xml:space="preserve">A rotation schedule made each student active in exactly one run per session, so in four runs over the unit.</w:t>
      </w:r>
    </w:p>
    <w:p>
      <w:pPr>
        <w:numPr>
          <w:ilvl w:val="1"/>
          <w:numId w:val="1033"/>
        </w:numPr>
        <w:pStyle w:val="Compact"/>
      </w:pPr>
      <w:r>
        <w:t xml:space="preserve">Arm-specific work products stayed outside the simulation room, so students applied their reasoning without them, as in the outcome assessment.</w:t>
      </w:r>
    </w:p>
    <w:p>
      <w:pPr>
        <w:numPr>
          <w:ilvl w:val="0"/>
          <w:numId w:val="1032"/>
        </w:numPr>
        <w:pStyle w:val="Compact"/>
      </w:pPr>
      <w:r>
        <w:rPr>
          <w:bCs/>
          <w:b/>
        </w:rPr>
        <w:t xml:space="preserve">Consolidation (20 min):</w:t>
      </w:r>
      <w:r>
        <w:t xml:space="preserve"> </w:t>
      </w:r>
      <w:r>
        <w:t xml:space="preserve">students updated their map or worksheet in light of the simulation variants and the debriefing.</w:t>
      </w:r>
    </w:p>
    <w:p>
      <w:pPr>
        <w:numPr>
          <w:ilvl w:val="0"/>
          <w:numId w:val="1032"/>
        </w:numPr>
        <w:pStyle w:val="Compact"/>
      </w:pPr>
      <w:r>
        <w:rPr>
          <w:bCs/>
          <w:b/>
        </w:rPr>
        <w:t xml:space="preserve">Summary (10 min).</w:t>
      </w:r>
    </w:p>
    <w:p>
      <w:pPr>
        <w:pStyle w:val="FirstParagraph"/>
      </w:pPr>
      <w:r>
        <w:t xml:space="preserve">Scenario design, prebriefing, and debriefing followed the Healthcare Simulation Standards of Best Practice (Watts et al., 2021; Persico et al., 2025; Decker et al., 2025).</w:t>
      </w:r>
    </w:p>
    <w:p>
      <w:pPr>
        <w:pStyle w:val="BodyText"/>
      </w:pPr>
      <w:r>
        <w:rPr>
          <w:bCs/>
          <w:b/>
        </w:rPr>
        <w:t xml:space="preserve">Shared Facilitator Feedback Criteria (all arms):</w:t>
      </w:r>
    </w:p>
    <w:p>
      <w:pPr>
        <w:numPr>
          <w:ilvl w:val="0"/>
          <w:numId w:val="1034"/>
        </w:numPr>
        <w:pStyle w:val="Compact"/>
      </w:pPr>
      <w:r>
        <w:t xml:space="preserve">Accuracy and completeness of cues</w:t>
      </w:r>
    </w:p>
    <w:p>
      <w:pPr>
        <w:numPr>
          <w:ilvl w:val="0"/>
          <w:numId w:val="1034"/>
        </w:numPr>
        <w:pStyle w:val="Compact"/>
      </w:pPr>
      <w:r>
        <w:t xml:space="preserve">Interpretation against age-specific norms</w:t>
      </w:r>
    </w:p>
    <w:p>
      <w:pPr>
        <w:numPr>
          <w:ilvl w:val="0"/>
          <w:numId w:val="1034"/>
        </w:numPr>
        <w:pStyle w:val="Compact"/>
      </w:pPr>
      <w:r>
        <w:t xml:space="preserve">Prioritization with rationale</w:t>
      </w:r>
    </w:p>
    <w:p>
      <w:pPr>
        <w:numPr>
          <w:ilvl w:val="0"/>
          <w:numId w:val="1034"/>
        </w:numPr>
        <w:pStyle w:val="Compact"/>
      </w:pPr>
      <w:r>
        <w:t xml:space="preserve">Safety and scope of actions, including escalation</w:t>
      </w:r>
    </w:p>
    <w:p>
      <w:pPr>
        <w:numPr>
          <w:ilvl w:val="0"/>
          <w:numId w:val="1034"/>
        </w:numPr>
        <w:pStyle w:val="Compact"/>
      </w:pPr>
      <w:r>
        <w:t xml:space="preserve">The evaluation and reassessment plan</w:t>
      </w:r>
    </w:p>
    <w:p>
      <w:pPr>
        <w:pStyle w:val="FirstParagraph"/>
      </w:pPr>
      <w:r>
        <w:t xml:space="preserve">Facilitators recorded on a standard log which criteria they addressed with each group.</w:t>
      </w:r>
    </w:p>
    <w:p>
      <w:pPr>
        <w:pStyle w:val="BodyText"/>
      </w:pPr>
      <w:r>
        <w:rPr>
          <w:bCs/>
          <w:b/>
        </w:rPr>
        <w:t xml:space="preserve">AI-assisted map arm (examine, annotate, revise, apply).</w:t>
      </w:r>
      <w:r>
        <w:t xml:space="preserve"> </w:t>
      </w:r>
      <w:r>
        <w:t xml:space="preserve">Each student received a printed A3 color copy of the reviewed map for the index case. The eight headings formed its main branches.</w:t>
      </w:r>
    </w:p>
    <w:p>
      <w:pPr>
        <w:numPr>
          <w:ilvl w:val="0"/>
          <w:numId w:val="1035"/>
        </w:numPr>
        <w:pStyle w:val="Compact"/>
      </w:pPr>
      <w:r>
        <w:rPr>
          <w:iCs/>
          <w:i/>
        </w:rPr>
        <w:t xml:space="preserve">Individual work (30 min).</w:t>
      </w:r>
      <w:r>
        <w:t xml:space="preserve"> </w:t>
      </w:r>
      <w:r>
        <w:t xml:space="preserve">Students annotated the map using a standard key: highlighting nodes supported by cues in the case, numbering priorities, writing a rationale beside each action, and drawing cross-links from cues to problems to actions.</w:t>
      </w:r>
    </w:p>
    <w:p>
      <w:pPr>
        <w:numPr>
          <w:ilvl w:val="0"/>
          <w:numId w:val="1035"/>
        </w:numPr>
        <w:pStyle w:val="Compact"/>
      </w:pPr>
      <w:r>
        <w:rPr>
          <w:iCs/>
          <w:i/>
        </w:rPr>
        <w:t xml:space="preserve">Small-group work (30 min).</w:t>
      </w:r>
      <w:r>
        <w:t xml:space="preserve"> </w:t>
      </w:r>
      <w:r>
        <w:t xml:space="preserve">Groups revised the map to fit the specific child: removing irrelevant nodes, adding case-specific nodes, reordering priorities, and adding cross-links. They recorded a one-line justification for each change in a revision log.</w:t>
      </w:r>
    </w:p>
    <w:p>
      <w:pPr>
        <w:pStyle w:val="FirstParagraph"/>
      </w:pPr>
      <w:r>
        <w:t xml:space="preserve">Students did not interact with generative AI at any point.</w:t>
      </w:r>
    </w:p>
    <w:p>
      <w:pPr>
        <w:pStyle w:val="BodyText"/>
      </w:pPr>
      <w:r>
        <w:rPr>
          <w:bCs/>
          <w:b/>
        </w:rPr>
        <w:t xml:space="preserve">Student-map arm (select, organize, construct, apply).</w:t>
      </w:r>
      <w:r>
        <w:t xml:space="preserve"> </w:t>
      </w:r>
      <w:r>
        <w:t xml:space="preserve">Students built their own map for the index case on A3 paper. The central node and the eight headings were pre-printed as main branches, matching the main branches of the AI-assisted maps. No generative AI was used.</w:t>
      </w:r>
    </w:p>
    <w:p>
      <w:pPr>
        <w:numPr>
          <w:ilvl w:val="0"/>
          <w:numId w:val="1036"/>
        </w:numPr>
        <w:pStyle w:val="Compact"/>
      </w:pPr>
      <w:r>
        <w:rPr>
          <w:iCs/>
          <w:i/>
        </w:rPr>
        <w:t xml:space="preserve">Individual work (30 min).</w:t>
      </w:r>
      <w:r>
        <w:t xml:space="preserve"> </w:t>
      </w:r>
      <w:r>
        <w:t xml:space="preserve">Students selected case information and added sub-branches, keywords, colors, and the required cross-links from cues to problems to actions.</w:t>
      </w:r>
    </w:p>
    <w:p>
      <w:pPr>
        <w:numPr>
          <w:ilvl w:val="0"/>
          <w:numId w:val="1036"/>
        </w:numPr>
        <w:pStyle w:val="Compact"/>
      </w:pPr>
      <w:r>
        <w:rPr>
          <w:iCs/>
          <w:i/>
        </w:rPr>
        <w:t xml:space="preserve">Small-group work (30 min).</w:t>
      </w:r>
      <w:r>
        <w:t xml:space="preserve"> </w:t>
      </w:r>
      <w:r>
        <w:t xml:space="preserve">Groups compared their maps and built a consolidated group map with a revision log.</w:t>
      </w:r>
    </w:p>
    <w:p>
      <w:pPr>
        <w:pStyle w:val="FirstParagraph"/>
      </w:pPr>
      <w:r>
        <w:t xml:space="preserve">These maps are therefore scaffolded rather than free-form. This was an intended design feature: it keeps the organizing frame constant across the two map arms, so that they differ in who generates the content beneath it.</w:t>
      </w:r>
    </w:p>
    <w:p>
      <w:pPr>
        <w:pStyle w:val="BodyText"/>
      </w:pPr>
      <w:r>
        <w:rPr>
          <w:bCs/>
          <w:b/>
        </w:rPr>
        <w:t xml:space="preserve">Worksheet arm (analyze, justify, apply).</w:t>
      </w:r>
      <w:r>
        <w:t xml:space="preserve"> </w:t>
      </w:r>
      <w:r>
        <w:t xml:space="preserve">Students analyzed the same index case using a worksheet that presented the eight headings as linear prompts in table form. They were asked to list content under each heading and justify their priorities, without drawing diagrams or arrows. They worked individually for 30 minutes. Then, in small groups for 30 minutes, they produced a consolidated worksheet with a justification log.</w:t>
      </w:r>
    </w:p>
    <w:p>
      <w:pPr>
        <w:pStyle w:val="BodyText"/>
      </w:pPr>
      <w:r>
        <w:rPr>
          <w:bCs/>
          <w:b/>
        </w:rPr>
        <w:t xml:space="preserve">What distinguishes the arms.</w:t>
      </w:r>
    </w:p>
    <w:p>
      <w:pPr>
        <w:numPr>
          <w:ilvl w:val="0"/>
          <w:numId w:val="1037"/>
        </w:numPr>
        <w:pStyle w:val="Compact"/>
      </w:pPr>
      <w:r>
        <w:t xml:space="preserve">The two map arms differ from the worksheet arm in representing relationships explicitly and non-linearly, through cross-links.</w:t>
      </w:r>
    </w:p>
    <w:p>
      <w:pPr>
        <w:numPr>
          <w:ilvl w:val="0"/>
          <w:numId w:val="1037"/>
        </w:numPr>
        <w:pStyle w:val="Compact"/>
      </w:pPr>
      <w:r>
        <w:t xml:space="preserve">The AI-assisted map arm differs from the student-map arm in whether the content under the headings is supplied and then revised, or generated by the students.</w:t>
      </w:r>
    </w:p>
    <w:p>
      <w:pPr>
        <w:pStyle w:val="FirstParagraph"/>
      </w:pPr>
      <w:r>
        <w:t xml:space="preserve">Both features were verified from the students’ work products (Section 2.12).</w:t>
      </w:r>
    </w:p>
    <w:p>
      <w:pPr>
        <w:pStyle w:val="BodyText"/>
      </w:pPr>
      <w:r>
        <w:rPr>
          <w:bCs/>
          <w:b/>
        </w:rPr>
        <w:t xml:space="preserve">Use of generative AI outside sessions.</w:t>
      </w:r>
      <w:r>
        <w:t xml:space="preserve"> </w:t>
      </w:r>
      <w:r>
        <w:t xml:space="preserve">All students were asked not to use generative AI to study the neurotrauma content during the study period, and to report any use on the contamination questionnaire (Section 2.11).</w:t>
      </w:r>
    </w:p>
    <w:p>
      <w:pPr>
        <w:pStyle w:val="BodyText"/>
      </w:pPr>
      <w:r>
        <w:rPr>
          <w:bCs/>
          <w:b/>
        </w:rPr>
        <w:t xml:space="preserve">Tailoring and completion.</w:t>
      </w:r>
      <w:r>
        <w:t xml:space="preserve"> </w:t>
      </w:r>
      <w:r>
        <w:t xml:space="preserve">Facilitators could vary the pace of discussion within each block. They could not change the block timing, materials, feedback criteria, or case content. Completion of teaching was defined as attending the orientation and at least three of the four sessions.</w:t>
      </w:r>
    </w:p>
    <w:p>
      <w:pPr>
        <w:pStyle w:val="BodyText"/>
      </w:pPr>
      <w:r>
        <w:rPr>
          <w:bCs/>
          <w:b/>
        </w:rPr>
        <w:t xml:space="preserve">Table 2.</w:t>
      </w:r>
      <w:r>
        <w:t xml:space="preserve"> </w:t>
      </w:r>
      <w:r>
        <w:t xml:space="preserve">Characteristics of the three instructional strategies (TIDieR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AI-assisted map arm</w:t>
            </w:r>
          </w:p>
        </w:tc>
        <w:tc>
          <w:tcPr/>
          <w:p>
            <w:pPr>
              <w:pStyle w:val="Compact"/>
              <w:jc w:val="left"/>
            </w:pPr>
            <w:r>
              <w:t xml:space="preserve">Student-map arm</w:t>
            </w:r>
          </w:p>
        </w:tc>
        <w:tc>
          <w:tcPr/>
          <w:p>
            <w:pPr>
              <w:pStyle w:val="Compact"/>
              <w:jc w:val="left"/>
            </w:pPr>
            <w:r>
              <w:t xml:space="preserve">Worksheet arm (active comparator)</w:t>
            </w:r>
          </w:p>
        </w:tc>
      </w:tr>
      <w:tr>
        <w:tc>
          <w:tcPr/>
          <w:p>
            <w:pPr>
              <w:pStyle w:val="Compact"/>
              <w:jc w:val="left"/>
            </w:pPr>
            <w:r>
              <w:t xml:space="preserve">Pre-class package</w:t>
            </w:r>
          </w:p>
        </w:tc>
        <w:tc>
          <w:tcPr/>
          <w:p>
            <w:pPr>
              <w:pStyle w:val="Compact"/>
              <w:jc w:val="left"/>
            </w:pPr>
            <w:r>
              <w:t xml:space="preserve">Identical flipped package (4 × ~60 min)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Orientation (30 min)</w:t>
            </w:r>
          </w:p>
        </w:tc>
        <w:tc>
          <w:tcPr/>
          <w:p>
            <w:pPr>
              <w:pStyle w:val="Compact"/>
              <w:jc w:val="left"/>
            </w:pPr>
            <w:r>
              <w:t xml:space="preserve">Annotating and revising a supplied map (dehydration case); annotation guide</w:t>
            </w:r>
          </w:p>
        </w:tc>
        <w:tc>
          <w:tcPr/>
          <w:p>
            <w:pPr>
              <w:pStyle w:val="Compact"/>
              <w:jc w:val="left"/>
            </w:pPr>
            <w:r>
              <w:t xml:space="preserve">Constructing a map (same case); map-construction guide</w:t>
            </w:r>
          </w:p>
        </w:tc>
        <w:tc>
          <w:tcPr/>
          <w:p>
            <w:pPr>
              <w:pStyle w:val="Compact"/>
              <w:jc w:val="left"/>
            </w:pPr>
            <w:r>
              <w:t xml:space="preserve">Completing a worksheet (same case); worksheet guide</w:t>
            </w:r>
          </w:p>
        </w:tc>
      </w:tr>
      <w:tr>
        <w:tc>
          <w:tcPr/>
          <w:p>
            <w:pPr>
              <w:pStyle w:val="Compact"/>
              <w:jc w:val="left"/>
            </w:pPr>
            <w:r>
              <w:t xml:space="preserve">Organizing frame</w:t>
            </w:r>
          </w:p>
        </w:tc>
        <w:tc>
          <w:tcPr/>
          <w:p>
            <w:pPr>
              <w:pStyle w:val="Compact"/>
              <w:jc w:val="left"/>
            </w:pPr>
            <w:r>
              <w:t xml:space="preserve">Eight Clinical Reasoning Cycle headings as main map branches</w:t>
            </w:r>
          </w:p>
        </w:tc>
        <w:tc>
          <w:tcPr/>
          <w:p>
            <w:pPr>
              <w:pStyle w:val="Compact"/>
              <w:jc w:val="left"/>
            </w:pPr>
            <w:r>
              <w:t xml:space="preserve">Same eight headings, pre-printed as main branches</w:t>
            </w:r>
          </w:p>
        </w:tc>
        <w:tc>
          <w:tcPr/>
          <w:p>
            <w:pPr>
              <w:pStyle w:val="Compact"/>
              <w:jc w:val="left"/>
            </w:pPr>
            <w:r>
              <w:t xml:space="preserve">Same eight headings as linear prompts</w:t>
            </w:r>
          </w:p>
        </w:tc>
      </w:tr>
      <w:tr>
        <w:tc>
          <w:tcPr/>
          <w:p>
            <w:pPr>
              <w:pStyle w:val="Compact"/>
              <w:jc w:val="left"/>
            </w:pPr>
            <w:r>
              <w:t xml:space="preserve">Content under headings</w:t>
            </w:r>
          </w:p>
        </w:tc>
        <w:tc>
          <w:tcPr/>
          <w:p>
            <w:pPr>
              <w:pStyle w:val="Compact"/>
              <w:jc w:val="left"/>
            </w:pPr>
            <w:r>
              <w:t xml:space="preserve">Supplied: AI-generated, reviewed by three independent experts, frozen before use</w:t>
            </w:r>
          </w:p>
        </w:tc>
        <w:tc>
          <w:tcPr/>
          <w:p>
            <w:pPr>
              <w:pStyle w:val="Compact"/>
              <w:jc w:val="left"/>
            </w:pPr>
            <w:r>
              <w:t xml:space="preserve">Generated by students</w:t>
            </w:r>
          </w:p>
        </w:tc>
        <w:tc>
          <w:tcPr/>
          <w:p>
            <w:pPr>
              <w:pStyle w:val="Compact"/>
              <w:jc w:val="left"/>
            </w:pPr>
            <w:r>
              <w:t xml:space="preserve">Generated by students</w:t>
            </w:r>
          </w:p>
        </w:tc>
      </w:tr>
      <w:tr>
        <w:tc>
          <w:tcPr/>
          <w:p>
            <w:pPr>
              <w:pStyle w:val="Compact"/>
              <w:jc w:val="left"/>
            </w:pPr>
            <w:r>
              <w:t xml:space="preserve">Relational representation</w:t>
            </w:r>
          </w:p>
        </w:tc>
        <w:tc>
          <w:tcPr/>
          <w:p>
            <w:pPr>
              <w:pStyle w:val="Compact"/>
              <w:jc w:val="left"/>
            </w:pPr>
            <w:r>
              <w:t xml:space="preserve">Cross-links required (annotation)</w:t>
            </w:r>
          </w:p>
        </w:tc>
        <w:tc>
          <w:tcPr/>
          <w:p>
            <w:pPr>
              <w:pStyle w:val="Compact"/>
              <w:jc w:val="left"/>
            </w:pPr>
            <w:r>
              <w:t xml:space="preserve">Cross-links required (construction)</w:t>
            </w:r>
          </w:p>
        </w:tc>
        <w:tc>
          <w:tcPr/>
          <w:p>
            <w:pPr>
              <w:pStyle w:val="Compact"/>
              <w:jc w:val="left"/>
            </w:pPr>
            <w:r>
              <w:t xml:space="preserve">None (linear lists)</w:t>
            </w:r>
          </w:p>
        </w:tc>
      </w:tr>
      <w:tr>
        <w:tc>
          <w:tcPr/>
          <w:p>
            <w:pPr>
              <w:pStyle w:val="Compact"/>
              <w:jc w:val="left"/>
            </w:pPr>
            <w:r>
              <w:t xml:space="preserve">Student activity</w:t>
            </w:r>
          </w:p>
        </w:tc>
        <w:tc>
          <w:tcPr/>
          <w:p>
            <w:pPr>
              <w:pStyle w:val="Compact"/>
              <w:jc w:val="left"/>
            </w:pPr>
            <w:r>
              <w:t xml:space="preserve">Examine, annotate, revise (revision log), apply</w:t>
            </w:r>
          </w:p>
        </w:tc>
        <w:tc>
          <w:tcPr/>
          <w:p>
            <w:pPr>
              <w:pStyle w:val="Compact"/>
              <w:jc w:val="left"/>
            </w:pPr>
            <w:r>
              <w:t xml:space="preserve">Select, organize, construct, consolidate (revision log), apply</w:t>
            </w:r>
          </w:p>
        </w:tc>
        <w:tc>
          <w:tcPr/>
          <w:p>
            <w:pPr>
              <w:pStyle w:val="Compact"/>
              <w:jc w:val="left"/>
            </w:pPr>
            <w:r>
              <w:t xml:space="preserve">Analyze, justify, consolidate (justification log), apply</w:t>
            </w:r>
          </w:p>
        </w:tc>
      </w:tr>
      <w:tr>
        <w:tc>
          <w:tcPr/>
          <w:p>
            <w:pPr>
              <w:pStyle w:val="Compact"/>
              <w:jc w:val="left"/>
            </w:pPr>
            <w:r>
              <w:t xml:space="preserve">Generative AI</w:t>
            </w:r>
          </w:p>
        </w:tc>
        <w:tc>
          <w:tcPr/>
          <w:p>
            <w:pPr>
              <w:pStyle w:val="Compact"/>
              <w:jc w:val="left"/>
            </w:pPr>
            <w:r>
              <w:t xml:space="preserve">Used by educators only to prepare maps; never by students</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Contact time</w:t>
            </w:r>
          </w:p>
        </w:tc>
        <w:tc>
          <w:tcPr/>
          <w:p>
            <w:pPr>
              <w:pStyle w:val="Compact"/>
              <w:jc w:val="left"/>
            </w:pPr>
            <w:r>
              <w:t xml:space="preserve">750 min (30 min orientation + 4 × 180 min)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Cases and simulation</w:t>
            </w:r>
          </w:p>
        </w:tc>
        <w:tc>
          <w:tcPr/>
          <w:p>
            <w:pPr>
              <w:pStyle w:val="Compact"/>
              <w:jc w:val="left"/>
            </w:pPr>
            <w:r>
              <w:t xml:space="preserve">4 index cases; 8 simulation variants (2 per session); each student active in 4 runs; PEARLS debriefing</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Feedback</w:t>
            </w:r>
          </w:p>
        </w:tc>
        <w:tc>
          <w:tcPr/>
          <w:p>
            <w:pPr>
              <w:pStyle w:val="Compact"/>
              <w:jc w:val="left"/>
            </w:pPr>
            <w:r>
              <w:t xml:space="preserve">Five shared criteria; about 5 min per group plus 15-min plenary per session</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Products in simulation room</w:t>
            </w:r>
          </w:p>
        </w:tc>
        <w:tc>
          <w:tcPr/>
          <w:p>
            <w:pPr>
              <w:pStyle w:val="Compact"/>
              <w:jc w:val="left"/>
            </w:pPr>
            <w:r>
              <w:t xml:space="preserve">Not permitted</w:t>
            </w:r>
          </w:p>
        </w:tc>
        <w:tc>
          <w:tcPr/>
          <w:p>
            <w:pPr>
              <w:pStyle w:val="Compact"/>
              <w:jc w:val="left"/>
            </w:pPr>
            <w:r>
              <w:t xml:space="preserve">Not permitted</w:t>
            </w:r>
          </w:p>
        </w:tc>
        <w:tc>
          <w:tcPr/>
          <w:p>
            <w:pPr>
              <w:pStyle w:val="Compact"/>
              <w:jc w:val="left"/>
            </w:pPr>
            <w:r>
              <w:t xml:space="preserve">Not permitted</w:t>
            </w:r>
          </w:p>
        </w:tc>
      </w:tr>
      <w:tr>
        <w:tc>
          <w:tcPr/>
          <w:p>
            <w:pPr>
              <w:pStyle w:val="Compact"/>
              <w:jc w:val="left"/>
            </w:pPr>
            <w:r>
              <w:t xml:space="preserve">Fidelity monitoring</w:t>
            </w:r>
          </w:p>
        </w:tc>
        <w:tc>
          <w:tcPr/>
          <w:p>
            <w:pPr>
              <w:pStyle w:val="Compact"/>
              <w:jc w:val="left"/>
            </w:pPr>
            <w:r>
              <w:t xml:space="preserve">Audio-coded sessions; feedback logs; product analysis; LMS logs</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Outcome assessment</w:t>
            </w:r>
          </w:p>
        </w:tc>
        <w:tc>
          <w:tcPr/>
          <w:p>
            <w:pPr>
              <w:pStyle w:val="Compact"/>
              <w:jc w:val="left"/>
            </w:pPr>
            <w:r>
              <w:t xml:space="preserve">Individual, unseen cases assigned at random from a case bank; no materials or AI</w:t>
            </w:r>
          </w:p>
        </w:tc>
        <w:tc>
          <w:tcPr/>
          <w:p>
            <w:pPr>
              <w:pStyle w:val="Compact"/>
              <w:jc w:val="left"/>
            </w:pPr>
            <w:r>
              <w:t xml:space="preserve">Same</w:t>
            </w:r>
          </w:p>
        </w:tc>
        <w:tc>
          <w:tcPr/>
          <w:p>
            <w:pPr>
              <w:pStyle w:val="Compact"/>
              <w:jc w:val="left"/>
            </w:pPr>
            <w:r>
              <w:t xml:space="preserve">Same</w:t>
            </w:r>
          </w:p>
        </w:tc>
      </w:tr>
    </w:tbl>
    <w:bookmarkEnd w:id="32"/>
    <w:bookmarkStart w:id="33" w:name="personnel-and-training"/>
    <w:p>
      <w:pPr>
        <w:pStyle w:val="Heading2"/>
      </w:pPr>
      <w:r>
        <w:t xml:space="preserve">2.10. Personnel and Training</w:t>
      </w:r>
    </w:p>
    <w:p>
      <w:pPr>
        <w:pStyle w:val="FirstParagraph"/>
      </w:pPr>
      <w:r>
        <w:rPr>
          <w:bCs/>
          <w:b/>
        </w:rPr>
        <w:t xml:space="preserve">Facilitators.</w:t>
      </w:r>
      <w:r>
        <w:t xml:space="preserve"> </w:t>
      </w:r>
      <w:r>
        <w:t xml:space="preserve">The five facilitators attended two standardization workshops, 8 hours in total, on 25 and 26 January 2026. The workshops covered:</w:t>
      </w:r>
    </w:p>
    <w:p>
      <w:pPr>
        <w:numPr>
          <w:ilvl w:val="0"/>
          <w:numId w:val="1038"/>
        </w:numPr>
        <w:pStyle w:val="Compact"/>
      </w:pPr>
      <w:r>
        <w:t xml:space="preserve">the arm protocols and session scripts;</w:t>
      </w:r>
    </w:p>
    <w:p>
      <w:pPr>
        <w:numPr>
          <w:ilvl w:val="0"/>
          <w:numId w:val="1038"/>
        </w:numPr>
        <w:pStyle w:val="Compact"/>
      </w:pPr>
      <w:r>
        <w:t xml:space="preserve">the feedback criteria and feedback log; and</w:t>
      </w:r>
    </w:p>
    <w:p>
      <w:pPr>
        <w:numPr>
          <w:ilvl w:val="0"/>
          <w:numId w:val="1038"/>
        </w:numPr>
        <w:pStyle w:val="Compact"/>
      </w:pPr>
      <w:r>
        <w:t xml:space="preserve">the contamination rules, including that facilitators must never use, show, or describe another arm’s materials.</w:t>
      </w:r>
    </w:p>
    <w:p>
      <w:pPr>
        <w:pStyle w:val="FirstParagraph"/>
      </w:pPr>
      <w:r>
        <w:t xml:space="preserve">For each session, facilitators received only the session guide for that section’s arm. They had no role in assessment or rating.</w:t>
      </w:r>
    </w:p>
    <w:p>
      <w:pPr>
        <w:pStyle w:val="BodyText"/>
      </w:pPr>
      <w:r>
        <w:rPr>
          <w:bCs/>
          <w:b/>
        </w:rPr>
        <w:t xml:space="preserve">Simulation instructors.</w:t>
      </w:r>
      <w:r>
        <w:t xml:space="preserve"> </w:t>
      </w:r>
      <w:r>
        <w:t xml:space="preserve">Six simulation instructors, one per room, ran the scenarios and debriefings. All held a master’s degree in nursing or a related field and had at least 3 years of simulation experience. They attended a 6-hour training program on 27–28 January 2026 covering:</w:t>
      </w:r>
    </w:p>
    <w:p>
      <w:pPr>
        <w:numPr>
          <w:ilvl w:val="0"/>
          <w:numId w:val="1039"/>
        </w:numPr>
        <w:pStyle w:val="Compact"/>
      </w:pPr>
      <w:r>
        <w:t xml:space="preserve">the scenario scripts and cue delivery;</w:t>
      </w:r>
    </w:p>
    <w:p>
      <w:pPr>
        <w:numPr>
          <w:ilvl w:val="0"/>
          <w:numId w:val="1039"/>
        </w:numPr>
        <w:pStyle w:val="Compact"/>
      </w:pPr>
      <w:r>
        <w:t xml:space="preserve">PEARLS debriefing, using scripted debriefing objectives identical across arms; and</w:t>
      </w:r>
    </w:p>
    <w:p>
      <w:pPr>
        <w:numPr>
          <w:ilvl w:val="0"/>
          <w:numId w:val="1039"/>
        </w:numPr>
        <w:pStyle w:val="Compact"/>
      </w:pPr>
      <w:r>
        <w:t xml:space="preserve">the observer guide.</w:t>
      </w:r>
    </w:p>
    <w:p>
      <w:pPr>
        <w:pStyle w:val="FirstParagraph"/>
      </w:pPr>
      <w:r>
        <w:t xml:space="preserve">They were masked to allocation (Section 2.6).</w:t>
      </w:r>
    </w:p>
    <w:p>
      <w:pPr>
        <w:pStyle w:val="BodyText"/>
      </w:pPr>
      <w:r>
        <w:rPr>
          <w:bCs/>
          <w:b/>
        </w:rPr>
        <w:t xml:space="preserve">Assessment staff.</w:t>
      </w:r>
      <w:r>
        <w:t xml:space="preserve"> </w:t>
      </w:r>
      <w:r>
        <w:t xml:space="preserve">The assessment staff comprised:</w:t>
      </w:r>
    </w:p>
    <w:p>
      <w:pPr>
        <w:numPr>
          <w:ilvl w:val="0"/>
          <w:numId w:val="1040"/>
        </w:numPr>
        <w:pStyle w:val="Compact"/>
      </w:pPr>
      <w:r>
        <w:t xml:space="preserve">six standardized parents, one per simulation room;</w:t>
      </w:r>
    </w:p>
    <w:p>
      <w:pPr>
        <w:numPr>
          <w:ilvl w:val="0"/>
          <w:numId w:val="1040"/>
        </w:numPr>
        <w:pStyle w:val="Compact"/>
      </w:pPr>
      <w:r>
        <w:t xml:space="preserve">six room proctors;</w:t>
      </w:r>
    </w:p>
    <w:p>
      <w:pPr>
        <w:numPr>
          <w:ilvl w:val="0"/>
          <w:numId w:val="1040"/>
        </w:numPr>
        <w:pStyle w:val="Compact"/>
      </w:pPr>
      <w:r>
        <w:t xml:space="preserve">two simulated physicians, who answered escalation calls by phone with scripted replies; and</w:t>
      </w:r>
    </w:p>
    <w:p>
      <w:pPr>
        <w:numPr>
          <w:ilvl w:val="0"/>
          <w:numId w:val="1040"/>
        </w:numPr>
        <w:pStyle w:val="Compact"/>
      </w:pPr>
      <w:r>
        <w:t xml:space="preserve">two skills-station proctors.</w:t>
      </w:r>
    </w:p>
    <w:p>
      <w:pPr>
        <w:pStyle w:val="FirstParagraph"/>
      </w:pPr>
      <w:r>
        <w:t xml:space="preserve">All attended a 4-hour training session on 28 January 2026 and a 2-hour refresher on 26 March 2026. All were masked to allocation and had not taught the participating students.</w:t>
      </w:r>
    </w:p>
    <w:p>
      <w:pPr>
        <w:pStyle w:val="BodyText"/>
      </w:pPr>
      <w:r>
        <w:rPr>
          <w:bCs/>
          <w:b/>
        </w:rPr>
        <w:t xml:space="preserve">Raters.</w:t>
      </w:r>
      <w:r>
        <w:t xml:space="preserve"> </w:t>
      </w:r>
      <w:r>
        <w:t xml:space="preserve">The selection and training of outcome raters are described in Section 2.16.</w:t>
      </w:r>
    </w:p>
    <w:bookmarkEnd w:id="33"/>
    <w:bookmarkStart w:id="34" w:name="contamination-prevention-and-monitoring"/>
    <w:p>
      <w:pPr>
        <w:pStyle w:val="Heading2"/>
      </w:pPr>
      <w:r>
        <w:t xml:space="preserve">2.11. Contamination Prevention and Monitoring</w:t>
      </w:r>
    </w:p>
    <w:p>
      <w:pPr>
        <w:pStyle w:val="FirstParagraph"/>
      </w:pPr>
      <w:r>
        <w:t xml:space="preserve">Contamination could arise through students, facilitators, simulation instructors, outside sources, and the assessment content. Each route was addressed as follows.</w:t>
      </w:r>
    </w:p>
    <w:p>
      <w:pPr>
        <w:pStyle w:val="BodyText"/>
      </w:pPr>
      <w:r>
        <w:rPr>
          <w:bCs/>
          <w:b/>
        </w:rPr>
        <w:t xml:space="preserve">(a) Between students.</w:t>
      </w:r>
    </w:p>
    <w:p>
      <w:pPr>
        <w:numPr>
          <w:ilvl w:val="0"/>
          <w:numId w:val="1041"/>
        </w:numPr>
        <w:pStyle w:val="Compact"/>
      </w:pPr>
      <w:r>
        <w:t xml:space="preserve">Arm-specific materials were issued in sealed, serial-numbered packs and checked back in at the end of each session.</w:t>
      </w:r>
    </w:p>
    <w:p>
      <w:pPr>
        <w:numPr>
          <w:ilvl w:val="0"/>
          <w:numId w:val="1041"/>
        </w:numPr>
        <w:pStyle w:val="Compact"/>
      </w:pPr>
      <w:r>
        <w:t xml:space="preserve">No arm-specific content was posted on the LMS.</w:t>
      </w:r>
    </w:p>
    <w:p>
      <w:pPr>
        <w:numPr>
          <w:ilvl w:val="0"/>
          <w:numId w:val="1041"/>
        </w:numPr>
        <w:pStyle w:val="Compact"/>
      </w:pPr>
      <w:r>
        <w:t xml:space="preserve">Students were asked not to share session materials or discuss them with other sections until the study ended.</w:t>
      </w:r>
    </w:p>
    <w:p>
      <w:pPr>
        <w:numPr>
          <w:ilvl w:val="0"/>
          <w:numId w:val="1041"/>
        </w:numPr>
        <w:pStyle w:val="Compact"/>
      </w:pPr>
      <w:r>
        <w:t xml:space="preserve">All materials were released to all students only after post-instruction assessment.</w:t>
      </w:r>
    </w:p>
    <w:p>
      <w:pPr>
        <w:pStyle w:val="FirstParagraph"/>
      </w:pPr>
      <w:r>
        <w:rPr>
          <w:bCs/>
          <w:b/>
        </w:rPr>
        <w:t xml:space="preserve">(b) Through facilitators</w:t>
      </w:r>
      <w:r>
        <w:t xml:space="preserve">, who taught one section in every arm.</w:t>
      </w:r>
    </w:p>
    <w:p>
      <w:pPr>
        <w:numPr>
          <w:ilvl w:val="0"/>
          <w:numId w:val="1042"/>
        </w:numPr>
        <w:pStyle w:val="Compact"/>
      </w:pPr>
      <w:r>
        <w:t xml:space="preserve">Facilitators received only the arm-specific session guide for each section and followed explicit rules against cross-arm content.</w:t>
      </w:r>
    </w:p>
    <w:p>
      <w:pPr>
        <w:numPr>
          <w:ilvl w:val="0"/>
          <w:numId w:val="1042"/>
        </w:numPr>
        <w:pStyle w:val="Compact"/>
      </w:pPr>
      <w:r>
        <w:t xml:space="preserve">All case-work and plenary blocks were audio-recorded. In the sampled sessions, fidelity coders flagged any cross-arm content (Section 2.12).</w:t>
      </w:r>
    </w:p>
    <w:p>
      <w:pPr>
        <w:numPr>
          <w:ilvl w:val="0"/>
          <w:numId w:val="1042"/>
        </w:numPr>
        <w:pStyle w:val="Compact"/>
      </w:pPr>
      <w:r>
        <w:t xml:space="preserve">The allocation rule balanced the order in which facilitators taught the arms each week (Section 2.5).</w:t>
      </w:r>
    </w:p>
    <w:p>
      <w:pPr>
        <w:pStyle w:val="FirstParagraph"/>
      </w:pPr>
      <w:r>
        <w:rPr>
          <w:bCs/>
          <w:b/>
        </w:rPr>
        <w:t xml:space="preserve">(c) Through simulation instructors.</w:t>
      </w:r>
    </w:p>
    <w:p>
      <w:pPr>
        <w:numPr>
          <w:ilvl w:val="0"/>
          <w:numId w:val="1043"/>
        </w:numPr>
        <w:pStyle w:val="Compact"/>
      </w:pPr>
      <w:r>
        <w:t xml:space="preserve">Simulation instructors were masked to allocation.</w:t>
      </w:r>
    </w:p>
    <w:p>
      <w:pPr>
        <w:numPr>
          <w:ilvl w:val="0"/>
          <w:numId w:val="1043"/>
        </w:numPr>
        <w:pStyle w:val="Compact"/>
      </w:pPr>
      <w:r>
        <w:t xml:space="preserve">Debriefing objectives were scripted and identical across arms.</w:t>
      </w:r>
    </w:p>
    <w:p>
      <w:pPr>
        <w:numPr>
          <w:ilvl w:val="0"/>
          <w:numId w:val="1043"/>
        </w:numPr>
        <w:pStyle w:val="Compact"/>
      </w:pPr>
      <w:r>
        <w:t xml:space="preserve">Work products were excluded from the simulation rooms.</w:t>
      </w:r>
    </w:p>
    <w:p>
      <w:pPr>
        <w:pStyle w:val="FirstParagraph"/>
      </w:pPr>
      <w:r>
        <w:rPr>
          <w:bCs/>
          <w:b/>
        </w:rPr>
        <w:t xml:space="preserve">(d) Outside sources.</w:t>
      </w:r>
      <w:r>
        <w:t xml:space="preserve"> </w:t>
      </w:r>
      <w:r>
        <w:t xml:space="preserve">Students’ use of generative AI, extra tutoring, and clinical exposure were monitored. Clinical exposure was captured through a weekly REDCap log of the number of children with head injury that each student encountered during placement.</w:t>
      </w:r>
    </w:p>
    <w:p>
      <w:pPr>
        <w:pStyle w:val="BodyText"/>
      </w:pPr>
      <w:r>
        <w:rPr>
          <w:bCs/>
          <w:b/>
        </w:rPr>
        <w:t xml:space="preserve">(e) Assessment content.</w:t>
      </w:r>
      <w:r>
        <w:t xml:space="preserve"> </w:t>
      </w:r>
      <w:r>
        <w:t xml:space="preserve">Leakage of assessment content was addressed by the measures in Section 2.14.</w:t>
      </w:r>
    </w:p>
    <w:p>
      <w:pPr>
        <w:pStyle w:val="BodyText"/>
      </w:pPr>
      <w:r>
        <w:rPr>
          <w:bCs/>
          <w:b/>
        </w:rPr>
        <w:t xml:space="preserve">Contamination questionnaire.</w:t>
      </w:r>
      <w:r>
        <w:t xml:space="preserve"> </w:t>
      </w:r>
      <w:r>
        <w:t xml:space="preserve">At the post-instruction knowledge-test sitting on 8 April 2026, students completed a contamination questionnaire. It asked whether they had:</w:t>
      </w:r>
    </w:p>
    <w:p>
      <w:pPr>
        <w:numPr>
          <w:ilvl w:val="0"/>
          <w:numId w:val="1044"/>
        </w:numPr>
        <w:pStyle w:val="Compact"/>
      </w:pPr>
    </w:p>
    <w:p>
      <w:pPr>
        <w:numPr>
          <w:ilvl w:val="1"/>
          <w:numId w:val="1045"/>
        </w:numPr>
        <w:pStyle w:val="Compact"/>
      </w:pPr>
      <w:r>
        <w:t xml:space="preserve">seen or used materials from another arm;</w:t>
      </w:r>
    </w:p>
    <w:p>
      <w:pPr>
        <w:numPr>
          <w:ilvl w:val="0"/>
          <w:numId w:val="1044"/>
        </w:numPr>
        <w:pStyle w:val="Compact"/>
      </w:pPr>
    </w:p>
    <w:p>
      <w:pPr>
        <w:numPr>
          <w:ilvl w:val="1"/>
          <w:numId w:val="1046"/>
        </w:numPr>
        <w:pStyle w:val="Compact"/>
      </w:pPr>
      <w:r>
        <w:t xml:space="preserve">used generative AI to study the neurotrauma content, and if so how;</w:t>
      </w:r>
    </w:p>
    <w:p>
      <w:pPr>
        <w:numPr>
          <w:ilvl w:val="0"/>
          <w:numId w:val="1044"/>
        </w:numPr>
        <w:pStyle w:val="Compact"/>
      </w:pPr>
    </w:p>
    <w:p>
      <w:pPr>
        <w:numPr>
          <w:ilvl w:val="1"/>
          <w:numId w:val="1047"/>
        </w:numPr>
        <w:pStyle w:val="Compact"/>
      </w:pPr>
      <w:r>
        <w:t xml:space="preserve">received additional tutoring;</w:t>
      </w:r>
    </w:p>
    <w:p>
      <w:pPr>
        <w:numPr>
          <w:ilvl w:val="0"/>
          <w:numId w:val="1044"/>
        </w:numPr>
        <w:pStyle w:val="Compact"/>
      </w:pPr>
    </w:p>
    <w:p>
      <w:pPr>
        <w:numPr>
          <w:ilvl w:val="1"/>
          <w:numId w:val="1048"/>
        </w:numPr>
        <w:pStyle w:val="Compact"/>
      </w:pPr>
      <w:r>
        <w:t xml:space="preserve">spent additional study time on the content, and how many hours; and</w:t>
      </w:r>
    </w:p>
    <w:p>
      <w:pPr>
        <w:numPr>
          <w:ilvl w:val="0"/>
          <w:numId w:val="1044"/>
        </w:numPr>
        <w:pStyle w:val="Compact"/>
      </w:pPr>
    </w:p>
    <w:p>
      <w:pPr>
        <w:numPr>
          <w:ilvl w:val="1"/>
          <w:numId w:val="1049"/>
        </w:numPr>
        <w:pStyle w:val="Compact"/>
      </w:pPr>
      <w:r>
        <w:t xml:space="preserve">heard any details of the assessment cases before their own assessment.</w:t>
      </w:r>
    </w:p>
    <w:p>
      <w:pPr>
        <w:pStyle w:val="FirstParagraph"/>
      </w:pPr>
      <w:r>
        <w:t xml:space="preserve">These data are used in sensitivity analyses (Section 2.18.8).</w:t>
      </w:r>
    </w:p>
    <w:bookmarkEnd w:id="34"/>
    <w:bookmarkStart w:id="35" w:name="fidelity-dose-and-process-measures"/>
    <w:p>
      <w:pPr>
        <w:pStyle w:val="Heading2"/>
      </w:pPr>
      <w:r>
        <w:t xml:space="preserve">2.12. Fidelity, Dose, and Process Measures</w:t>
      </w:r>
    </w:p>
    <w:p>
      <w:pPr>
        <w:pStyle w:val="FirstParagraph"/>
      </w:pPr>
      <w:r>
        <w:rPr>
          <w:bCs/>
          <w:b/>
        </w:rPr>
        <w:t xml:space="preserve">Fidelity.</w:t>
      </w:r>
      <w:r>
        <w:t xml:space="preserve"> </w:t>
      </w:r>
      <w:r>
        <w:t xml:space="preserve">All sessions were audio-recorded. A random 8 of the 25 sessions per arm (32%; 5 sections × [orientation + 4 sessions]) were selected, stratified by session number. Two coders independent of teaching coded each selected session against a fidelity checklist covering:</w:t>
      </w:r>
    </w:p>
    <w:p>
      <w:pPr>
        <w:numPr>
          <w:ilvl w:val="0"/>
          <w:numId w:val="1050"/>
        </w:numPr>
        <w:pStyle w:val="Compact"/>
      </w:pPr>
      <w:r>
        <w:t xml:space="preserve">adherence to block timing (within ±5 minutes);</w:t>
      </w:r>
    </w:p>
    <w:p>
      <w:pPr>
        <w:numPr>
          <w:ilvl w:val="0"/>
          <w:numId w:val="1050"/>
        </w:numPr>
        <w:pStyle w:val="Compact"/>
      </w:pPr>
      <w:r>
        <w:t xml:space="preserve">delivery of each feedback criterion to each small group;</w:t>
      </w:r>
    </w:p>
    <w:p>
      <w:pPr>
        <w:numPr>
          <w:ilvl w:val="0"/>
          <w:numId w:val="1050"/>
        </w:numPr>
        <w:pStyle w:val="Compact"/>
      </w:pPr>
      <w:r>
        <w:t xml:space="preserve">the arm-specific core components (annotation key and revision log; construction with cross-links; linear worksheet without links); and</w:t>
      </w:r>
    </w:p>
    <w:p>
      <w:pPr>
        <w:numPr>
          <w:ilvl w:val="0"/>
          <w:numId w:val="1050"/>
        </w:numPr>
        <w:pStyle w:val="Compact"/>
      </w:pPr>
      <w:r>
        <w:t xml:space="preserve">the absence of cross-arm content.</w:t>
      </w:r>
    </w:p>
    <w:p>
      <w:pPr>
        <w:pStyle w:val="FirstParagraph"/>
      </w:pPr>
      <w:r>
        <w:t xml:space="preserve">Twenty percent of sessions were double-coded to estimate agreement between coders (Cohen’s kappa). Sessions delivering at least 80% of checklist items were classed as high fidelity. All departures from planned delivery were documented with their reasons.</w:t>
      </w:r>
    </w:p>
    <w:p>
      <w:pPr>
        <w:pStyle w:val="BodyText"/>
      </w:pPr>
      <w:r>
        <w:rPr>
          <w:bCs/>
          <w:b/>
        </w:rPr>
        <w:t xml:space="preserve">Dose.</w:t>
      </w:r>
      <w:r>
        <w:t xml:space="preserve"> </w:t>
      </w:r>
      <w:r>
        <w:t xml:space="preserve">The following dose indicators were recorded:</w:t>
      </w:r>
    </w:p>
    <w:p>
      <w:pPr>
        <w:numPr>
          <w:ilvl w:val="0"/>
          <w:numId w:val="1051"/>
        </w:numPr>
        <w:pStyle w:val="Compact"/>
      </w:pPr>
      <w:r>
        <w:t xml:space="preserve">attendance;</w:t>
      </w:r>
    </w:p>
    <w:p>
      <w:pPr>
        <w:numPr>
          <w:ilvl w:val="0"/>
          <w:numId w:val="1051"/>
        </w:numPr>
        <w:pStyle w:val="Compact"/>
      </w:pPr>
      <w:r>
        <w:t xml:space="preserve">pre-class engagement from LMS logs (the proportion of the narrated presentation viewed and completion of the self-check quiz);</w:t>
      </w:r>
    </w:p>
    <w:p>
      <w:pPr>
        <w:numPr>
          <w:ilvl w:val="0"/>
          <w:numId w:val="1051"/>
        </w:numPr>
        <w:pStyle w:val="Compact"/>
      </w:pPr>
      <w:r>
        <w:t xml:space="preserve">the number of active simulation roles; and</w:t>
      </w:r>
    </w:p>
    <w:p>
      <w:pPr>
        <w:numPr>
          <w:ilvl w:val="0"/>
          <w:numId w:val="1051"/>
        </w:numPr>
        <w:pStyle w:val="Compact"/>
      </w:pPr>
      <w:r>
        <w:t xml:space="preserve">submission of the arm-specific product at the end of each session.</w:t>
      </w:r>
    </w:p>
    <w:p>
      <w:pPr>
        <w:pStyle w:val="FirstParagraph"/>
      </w:pPr>
      <w:r>
        <w:rPr>
          <w:bCs/>
          <w:b/>
        </w:rPr>
        <w:t xml:space="preserve">Product quality.</w:t>
      </w:r>
      <w:r>
        <w:t xml:space="preserve"> </w:t>
      </w:r>
      <w:r>
        <w:t xml:space="preserve">All products were photographed. Individual products from sessions 1 and 4 (about 900) were scored with the Case-Analysis Product Quality Rubric, which applies to all three formats. The rubric scores five domains, each 0–4, for a total of 0–20:</w:t>
      </w:r>
    </w:p>
    <w:p>
      <w:pPr>
        <w:numPr>
          <w:ilvl w:val="0"/>
          <w:numId w:val="1052"/>
        </w:numPr>
        <w:pStyle w:val="Compact"/>
      </w:pPr>
      <w:r>
        <w:t xml:space="preserve">accuracy of cues;</w:t>
      </w:r>
    </w:p>
    <w:p>
      <w:pPr>
        <w:numPr>
          <w:ilvl w:val="0"/>
          <w:numId w:val="1052"/>
        </w:numPr>
        <w:pStyle w:val="Compact"/>
      </w:pPr>
      <w:r>
        <w:t xml:space="preserve">correct links from cues to problems;</w:t>
      </w:r>
    </w:p>
    <w:p>
      <w:pPr>
        <w:numPr>
          <w:ilvl w:val="0"/>
          <w:numId w:val="1052"/>
        </w:numPr>
        <w:pStyle w:val="Compact"/>
      </w:pPr>
      <w:r>
        <w:t xml:space="preserve">accuracy of prioritization;</w:t>
      </w:r>
    </w:p>
    <w:p>
      <w:pPr>
        <w:numPr>
          <w:ilvl w:val="0"/>
          <w:numId w:val="1052"/>
        </w:numPr>
        <w:pStyle w:val="Compact"/>
      </w:pPr>
      <w:r>
        <w:t xml:space="preserve">safety of actions; and</w:t>
      </w:r>
    </w:p>
    <w:p>
      <w:pPr>
        <w:numPr>
          <w:ilvl w:val="0"/>
          <w:numId w:val="1052"/>
        </w:numPr>
        <w:pStyle w:val="Compact"/>
      </w:pPr>
      <w:r>
        <w:t xml:space="preserve">the reassessment plan.</w:t>
      </w:r>
    </w:p>
    <w:p>
      <w:pPr>
        <w:pStyle w:val="FirstParagraph"/>
      </w:pPr>
      <w:r>
        <w:t xml:space="preserve">The number of cross-links was counted separately. Two trained raters scored the products, masked to section, student, and session. They could not be masked to format. Twenty percent of products were double-scored.</w:t>
      </w:r>
    </w:p>
    <w:p>
      <w:pPr>
        <w:pStyle w:val="BodyText"/>
      </w:pPr>
      <w:r>
        <w:rPr>
          <w:bCs/>
          <w:b/>
        </w:rPr>
        <w:t xml:space="preserve">Cognitive load.</w:t>
      </w:r>
      <w:r>
        <w:t xml:space="preserve"> </w:t>
      </w:r>
      <w:r>
        <w:t xml:space="preserve">At the end of sessions 1 and 4, students completed the 10-item cognitive load scale of Leppink et al. (2013). The scale measures intrinsic, extraneous, and germane load and was worded to refer to that session’s arm-specific activity.</w:t>
      </w:r>
    </w:p>
    <w:p>
      <w:pPr>
        <w:pStyle w:val="BodyText"/>
      </w:pPr>
      <w:r>
        <w:rPr>
          <w:bCs/>
          <w:b/>
        </w:rPr>
        <w:t xml:space="preserve">Acceptability.</w:t>
      </w:r>
      <w:r>
        <w:t xml:space="preserve"> </w:t>
      </w:r>
      <w:r>
        <w:t xml:space="preserve">At the post-instruction sitting, students completed an 8-item questionnaire on perceived usefulness, ease of use, and confidence in the materials. Students in the AI-assisted map arm also rated their trust in the AI-assisted maps.</w:t>
      </w:r>
    </w:p>
    <w:bookmarkEnd w:id="35"/>
    <w:bookmarkStart w:id="36" w:name="outcomes-and-instruments"/>
    <w:p>
      <w:pPr>
        <w:pStyle w:val="Heading2"/>
      </w:pPr>
      <w:r>
        <w:t xml:space="preserve">2.13. Outcomes and Instruments</w:t>
      </w:r>
    </w:p>
    <w:p>
      <w:pPr>
        <w:pStyle w:val="FirstParagraph"/>
      </w:pPr>
      <w:r>
        <w:rPr>
          <w:bCs/>
          <w:b/>
        </w:rPr>
        <w:t xml:space="preserve">Primary outcome.</w:t>
      </w:r>
      <w:r>
        <w:t xml:space="preserve"> </w:t>
      </w:r>
      <w:r>
        <w:t xml:space="preserve">The primary outcome was clinical reasoning performance after instruction. It was measured with the Pediatric Neurotrauma Clinical Reasoning Evaluation Rubric (PN-CRER), an observer-rated rubric developed for this study. Its structure follows the Clinical Reasoning Evaluation Simulation Tool (CREST), which combines observed responses to deterioration with students’ explanations (Liaw et al., 2018; Bayzat and Dinc, 2025). The items, anchors, and case keys were written for pediatric head and brain injury, and no CREST items were reproduced. The PN-CRER is therefore a new instrument, not a validated version of CREST. Its validity evidence comes from this study (Section 2.15).</w:t>
      </w:r>
    </w:p>
    <w:p>
      <w:pPr>
        <w:pStyle w:val="BodyText"/>
      </w:pPr>
      <w:r>
        <w:rPr>
          <w:bCs/>
          <w:b/>
        </w:rPr>
        <w:t xml:space="preserve">PN-CRER items.</w:t>
      </w:r>
      <w:r>
        <w:t xml:space="preserve"> </w:t>
      </w:r>
      <w:r>
        <w:t xml:space="preserve">The eight items correspond to the eight phases of the Clinical Reasoning Cycle. Each item draws on a specified source of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Source of evidence</w:t>
            </w:r>
          </w:p>
        </w:tc>
      </w:tr>
      <w:tr>
        <w:tc>
          <w:tcPr/>
          <w:p>
            <w:pPr>
              <w:pStyle w:val="Compact"/>
              <w:jc w:val="left"/>
            </w:pPr>
            <w:r>
              <w:t xml:space="preserve">1. Considering the child’s situation</w:t>
            </w:r>
          </w:p>
        </w:tc>
        <w:tc>
          <w:tcPr/>
          <w:p>
            <w:pPr>
              <w:pStyle w:val="Compact"/>
              <w:jc w:val="left"/>
            </w:pPr>
            <w:r>
              <w:t xml:space="preserve">Interview</w:t>
            </w:r>
          </w:p>
        </w:tc>
      </w:tr>
      <w:tr>
        <w:tc>
          <w:tcPr/>
          <w:p>
            <w:pPr>
              <w:pStyle w:val="Compact"/>
              <w:jc w:val="left"/>
            </w:pPr>
            <w:r>
              <w:t xml:space="preserve">2. Collecting cues</w:t>
            </w:r>
          </w:p>
        </w:tc>
        <w:tc>
          <w:tcPr/>
          <w:p>
            <w:pPr>
              <w:pStyle w:val="Compact"/>
              <w:jc w:val="left"/>
            </w:pPr>
            <w:r>
              <w:t xml:space="preserve">Observation and interview</w:t>
            </w:r>
          </w:p>
        </w:tc>
      </w:tr>
      <w:tr>
        <w:tc>
          <w:tcPr/>
          <w:p>
            <w:pPr>
              <w:pStyle w:val="Compact"/>
              <w:jc w:val="left"/>
            </w:pPr>
            <w:r>
              <w:t xml:space="preserve">3. Processing information</w:t>
            </w:r>
          </w:p>
        </w:tc>
        <w:tc>
          <w:tcPr/>
          <w:p>
            <w:pPr>
              <w:pStyle w:val="Compact"/>
              <w:jc w:val="left"/>
            </w:pPr>
            <w:r>
              <w:t xml:space="preserve">Interview</w:t>
            </w:r>
          </w:p>
        </w:tc>
      </w:tr>
      <w:tr>
        <w:tc>
          <w:tcPr/>
          <w:p>
            <w:pPr>
              <w:pStyle w:val="Compact"/>
              <w:jc w:val="left"/>
            </w:pPr>
            <w:r>
              <w:t xml:space="preserve">4. Identifying problems</w:t>
            </w:r>
          </w:p>
        </w:tc>
        <w:tc>
          <w:tcPr/>
          <w:p>
            <w:pPr>
              <w:pStyle w:val="Compact"/>
              <w:jc w:val="left"/>
            </w:pPr>
            <w:r>
              <w:t xml:space="preserve">Interview</w:t>
            </w:r>
          </w:p>
        </w:tc>
      </w:tr>
      <w:tr>
        <w:tc>
          <w:tcPr/>
          <w:p>
            <w:pPr>
              <w:pStyle w:val="Compact"/>
              <w:jc w:val="left"/>
            </w:pPr>
            <w:r>
              <w:t xml:space="preserve">5. Establishing goals</w:t>
            </w:r>
          </w:p>
        </w:tc>
        <w:tc>
          <w:tcPr/>
          <w:p>
            <w:pPr>
              <w:pStyle w:val="Compact"/>
              <w:jc w:val="left"/>
            </w:pPr>
            <w:r>
              <w:t xml:space="preserve">Interview</w:t>
            </w:r>
          </w:p>
        </w:tc>
      </w:tr>
      <w:tr>
        <w:tc>
          <w:tcPr/>
          <w:p>
            <w:pPr>
              <w:pStyle w:val="Compact"/>
              <w:jc w:val="left"/>
            </w:pPr>
            <w:r>
              <w:t xml:space="preserve">6. Taking action</w:t>
            </w:r>
          </w:p>
        </w:tc>
        <w:tc>
          <w:tcPr/>
          <w:p>
            <w:pPr>
              <w:pStyle w:val="Compact"/>
              <w:jc w:val="left"/>
            </w:pPr>
            <w:r>
              <w:t xml:space="preserve">Observation</w:t>
            </w:r>
          </w:p>
        </w:tc>
      </w:tr>
      <w:tr>
        <w:tc>
          <w:tcPr/>
          <w:p>
            <w:pPr>
              <w:pStyle w:val="Compact"/>
              <w:jc w:val="left"/>
            </w:pPr>
            <w:r>
              <w:t xml:space="preserve">7. Evaluating outcomes</w:t>
            </w:r>
          </w:p>
        </w:tc>
        <w:tc>
          <w:tcPr/>
          <w:p>
            <w:pPr>
              <w:pStyle w:val="Compact"/>
              <w:jc w:val="left"/>
            </w:pPr>
            <w:r>
              <w:t xml:space="preserve">Observed reassessment after interventions, and the stated reassessment plan</w:t>
            </w:r>
          </w:p>
        </w:tc>
      </w:tr>
      <w:tr>
        <w:tc>
          <w:tcPr/>
          <w:p>
            <w:pPr>
              <w:pStyle w:val="Compact"/>
              <w:jc w:val="left"/>
            </w:pPr>
            <w:r>
              <w:t xml:space="preserve">8. Reflecting</w:t>
            </w:r>
          </w:p>
        </w:tc>
        <w:tc>
          <w:tcPr/>
          <w:p>
            <w:pPr>
              <w:pStyle w:val="Compact"/>
              <w:jc w:val="left"/>
            </w:pPr>
            <w:r>
              <w:t xml:space="preserve">Interview</w:t>
            </w:r>
          </w:p>
        </w:tc>
      </w:tr>
    </w:tbl>
    <w:p>
      <w:pPr>
        <w:pStyle w:val="BodyText"/>
      </w:pPr>
      <w:r>
        <w:rPr>
          <w:bCs/>
          <w:b/>
        </w:rPr>
        <w:t xml:space="preserve">Scoring.</w:t>
      </w:r>
      <w:r>
        <w:t xml:space="preserve"> </w:t>
      </w:r>
      <w:r>
        <w:t xml:space="preserve">Each item was scored 0–3 against behaviorally anchored descriptors and a case-specific key. The key lists the critical elements for each item and, where timing matters, the time window in which each element must occur.</w:t>
      </w:r>
    </w:p>
    <w:p>
      <w:pPr>
        <w:numPr>
          <w:ilvl w:val="0"/>
          <w:numId w:val="1053"/>
        </w:numPr>
        <w:pStyle w:val="Compact"/>
      </w:pPr>
      <w:r>
        <w:rPr>
          <w:bCs/>
          <w:b/>
        </w:rPr>
        <w:t xml:space="preserve">0</w:t>
      </w:r>
      <w:r>
        <w:t xml:space="preserve"> </w:t>
      </w:r>
      <w:r>
        <w:t xml:space="preserve">— Not demonstrated.</w:t>
      </w:r>
    </w:p>
    <w:p>
      <w:pPr>
        <w:numPr>
          <w:ilvl w:val="0"/>
          <w:numId w:val="1053"/>
        </w:numPr>
        <w:pStyle w:val="Compact"/>
      </w:pPr>
      <w:r>
        <w:rPr>
          <w:bCs/>
          <w:b/>
        </w:rPr>
        <w:t xml:space="preserve">1</w:t>
      </w:r>
      <w:r>
        <w:t xml:space="preserve"> </w:t>
      </w:r>
      <w:r>
        <w:t xml:space="preserve">— Fewer than half of the critical elements, or a major misinterpretation.</w:t>
      </w:r>
    </w:p>
    <w:p>
      <w:pPr>
        <w:numPr>
          <w:ilvl w:val="0"/>
          <w:numId w:val="1053"/>
        </w:numPr>
        <w:pStyle w:val="Compact"/>
      </w:pPr>
      <w:r>
        <w:rPr>
          <w:bCs/>
          <w:b/>
        </w:rPr>
        <w:t xml:space="preserve">2</w:t>
      </w:r>
      <w:r>
        <w:t xml:space="preserve"> </w:t>
      </w:r>
      <w:r>
        <w:t xml:space="preserve">— At least half of the critical elements, with no major misinterpretation.</w:t>
      </w:r>
    </w:p>
    <w:p>
      <w:pPr>
        <w:numPr>
          <w:ilvl w:val="0"/>
          <w:numId w:val="1053"/>
        </w:numPr>
        <w:pStyle w:val="Compact"/>
      </w:pPr>
      <w:r>
        <w:rPr>
          <w:bCs/>
          <w:b/>
        </w:rPr>
        <w:t xml:space="preserve">3</w:t>
      </w:r>
      <w:r>
        <w:t xml:space="preserve"> </w:t>
      </w:r>
      <w:r>
        <w:t xml:space="preserve">— All critical elements, accurate, justified, and within the key’s time windows.</w:t>
      </w:r>
    </w:p>
    <w:p>
      <w:pPr>
        <w:pStyle w:val="FirstParagraph"/>
      </w:pPr>
      <w:r>
        <w:rPr>
          <w:bCs/>
          <w:b/>
        </w:rPr>
        <w:t xml:space="preserve">Scoring rules.</w:t>
      </w:r>
    </w:p>
    <w:p>
      <w:pPr>
        <w:numPr>
          <w:ilvl w:val="0"/>
          <w:numId w:val="1054"/>
        </w:numPr>
        <w:pStyle w:val="Compact"/>
      </w:pPr>
      <w:r>
        <w:rPr>
          <w:iCs/>
          <w:i/>
        </w:rPr>
        <w:t xml:space="preserve">Performed versus stated.</w:t>
      </w:r>
      <w:r>
        <w:t xml:space="preserve"> </w:t>
      </w:r>
      <w:r>
        <w:t xml:space="preserve">Raters coded each element of items 2, 6, and 7 as performed (observed during the scenario) or stated (described only in the interview). If an element could have been performed in the scenario but was only stated, that item was capped at 2.</w:t>
      </w:r>
    </w:p>
    <w:p>
      <w:pPr>
        <w:numPr>
          <w:ilvl w:val="0"/>
          <w:numId w:val="1054"/>
        </w:numPr>
        <w:pStyle w:val="Compact"/>
      </w:pPr>
      <w:r>
        <w:rPr>
          <w:iCs/>
          <w:i/>
        </w:rPr>
        <w:t xml:space="preserve">Critical safety errors.</w:t>
      </w:r>
      <w:r>
        <w:t xml:space="preserve"> </w:t>
      </w:r>
      <w:r>
        <w:t xml:space="preserve">Each case key defines its critical safety errors (for example, failing to escalate a fall of 2 or more points in the Glasgow Coma Scale score). These were recorded separately as a binary indicator for each case. An unsafe action also capped item 6 at 1.</w:t>
      </w:r>
    </w:p>
    <w:p>
      <w:pPr>
        <w:numPr>
          <w:ilvl w:val="0"/>
          <w:numId w:val="1054"/>
        </w:numPr>
        <w:pStyle w:val="Compact"/>
      </w:pPr>
      <w:r>
        <w:rPr>
          <w:iCs/>
          <w:i/>
        </w:rPr>
        <w:t xml:space="preserve">Totals.</w:t>
      </w:r>
      <w:r>
        <w:t xml:space="preserve"> </w:t>
      </w:r>
      <w:r>
        <w:t xml:space="preserve">Item scores sum to a case score of 0–24. The occasion score is the mean of the two case scores, also 0–24. Higher scores indicate better reasoning. No global rating was added (Supplementary Table S3).</w:t>
      </w:r>
    </w:p>
    <w:p>
      <w:pPr>
        <w:pStyle w:val="FirstParagraph"/>
      </w:pPr>
      <w:r>
        <w:rPr>
          <w:bCs/>
          <w:b/>
        </w:rPr>
        <w:t xml:space="preserve">Secondary outcomes.</w:t>
      </w:r>
    </w:p>
    <w:p>
      <w:pPr>
        <w:numPr>
          <w:ilvl w:val="0"/>
          <w:numId w:val="1055"/>
        </w:numPr>
        <w:pStyle w:val="Compact"/>
      </w:pPr>
      <w:r>
        <w:rPr>
          <w:bCs/>
          <w:b/>
        </w:rPr>
        <w:t xml:space="preserve">Knowledge</w:t>
      </w:r>
      <w:r>
        <w:t xml:space="preserve">, measured with the Pediatric Neurotrauma Nursing Knowledge Test (PNNKT; equated score 0–40).</w:t>
      </w:r>
    </w:p>
    <w:p>
      <w:pPr>
        <w:numPr>
          <w:ilvl w:val="0"/>
          <w:numId w:val="1055"/>
        </w:numPr>
        <w:pStyle w:val="Compact"/>
      </w:pPr>
      <w:r>
        <w:rPr>
          <w:bCs/>
          <w:b/>
        </w:rPr>
        <w:t xml:space="preserve">Procedural skills</w:t>
      </w:r>
      <w:r>
        <w:t xml:space="preserve">, measured with the Pediatric Neurotrauma Procedural Skills Checklist (PNPSC; 0–30).</w:t>
      </w:r>
    </w:p>
    <w:p>
      <w:pPr>
        <w:numPr>
          <w:ilvl w:val="0"/>
          <w:numId w:val="1055"/>
        </w:numPr>
        <w:pStyle w:val="Compact"/>
      </w:pPr>
      <w:r>
        <w:rPr>
          <w:bCs/>
          <w:b/>
        </w:rPr>
        <w:t xml:space="preserve">Critical safety error</w:t>
      </w:r>
      <w:r>
        <w:t xml:space="preserve">: at least one critical safety error across the two cases at an occasion (binary).</w:t>
      </w:r>
    </w:p>
    <w:p>
      <w:pPr>
        <w:pStyle w:val="FirstParagraph"/>
      </w:pPr>
      <w:r>
        <w:rPr>
          <w:bCs/>
          <w:b/>
        </w:rPr>
        <w:t xml:space="preserve">Exploratory outcomes.</w:t>
      </w:r>
      <w:r>
        <w:t xml:space="preserve"> </w:t>
      </w:r>
      <w:r>
        <w:t xml:space="preserve">Exploratory outcomes were the profiles of PN-CRER item scores and the process measures described in Section 2.12. No delayed retention assessment was planned.</w:t>
      </w:r>
    </w:p>
    <w:p>
      <w:pPr>
        <w:pStyle w:val="BodyText"/>
      </w:pPr>
      <w:r>
        <w:rPr>
          <w:bCs/>
          <w:b/>
        </w:rPr>
        <w:t xml:space="preserve">Assessment cases and assignment.</w:t>
      </w:r>
      <w:r>
        <w:t xml:space="preserve"> </w:t>
      </w:r>
      <w:r>
        <w:t xml:space="preserve">A bank of eight previously unseen assessment cases was developed:</w:t>
      </w:r>
    </w:p>
    <w:p>
      <w:pPr>
        <w:numPr>
          <w:ilvl w:val="0"/>
          <w:numId w:val="1056"/>
        </w:numPr>
        <w:pStyle w:val="Compact"/>
      </w:pPr>
      <w:r>
        <w:t xml:space="preserve">four young-child cases (9–18 months; infant/toddler manikin; fontanelle assessable); and</w:t>
      </w:r>
    </w:p>
    <w:p>
      <w:pPr>
        <w:numPr>
          <w:ilvl w:val="0"/>
          <w:numId w:val="1056"/>
        </w:numPr>
        <w:pStyle w:val="Compact"/>
      </w:pPr>
      <w:r>
        <w:t xml:space="preserve">four school-age cases (5–8 years; child manikin).</w:t>
      </w:r>
    </w:p>
    <w:p>
      <w:pPr>
        <w:pStyle w:val="FirstParagraph"/>
      </w:pPr>
      <w:r>
        <w:t xml:space="preserve">The cases were matched on severity spectrum, number and timing of cues, number of decision points (three), critical actions, equipment, and duration (Supplementary Table S2). At each occasion, the data manager randomly assigned each student one young-child case and one school-age case, subject to three constraints:</w:t>
      </w:r>
    </w:p>
    <w:p>
      <w:pPr>
        <w:numPr>
          <w:ilvl w:val="0"/>
          <w:numId w:val="1057"/>
        </w:numPr>
        <w:pStyle w:val="Compact"/>
      </w:pPr>
      <w:r>
        <w:t xml:space="preserve">no student met the same case on both occasions;</w:t>
      </w:r>
    </w:p>
    <w:p>
      <w:pPr>
        <w:numPr>
          <w:ilvl w:val="0"/>
          <w:numId w:val="1057"/>
        </w:numPr>
        <w:pStyle w:val="Compact"/>
      </w:pPr>
      <w:r>
        <w:t xml:space="preserve">within each section and occasion, every case was used equally often (±1); and</w:t>
      </w:r>
    </w:p>
    <w:p>
      <w:pPr>
        <w:numPr>
          <w:ilvl w:val="0"/>
          <w:numId w:val="1057"/>
        </w:numPr>
        <w:pStyle w:val="Compact"/>
      </w:pPr>
      <w:r>
        <w:t xml:space="preserve">the order of the two cases was randomized.</w:t>
      </w:r>
    </w:p>
    <w:p>
      <w:pPr>
        <w:pStyle w:val="FirstParagraph"/>
      </w:pPr>
      <w:r>
        <w:t xml:space="preserve">Random assignment in this study applies only to measurement: assessment cases, knowledge-test forms, and the allocation of recordings to raters. Allocation of the instructional strategies was nonrandom (Section 2.5). Case is modeled as a random effect in the analysis (Section 2.18). Differences in difficulty between cases are therefore absorbed by the model and do not need to be assumed away.</w:t>
      </w:r>
    </w:p>
    <w:p>
      <w:pPr>
        <w:pStyle w:val="BodyText"/>
      </w:pPr>
      <w:r>
        <w:rPr>
          <w:bCs/>
          <w:b/>
        </w:rPr>
        <w:t xml:space="preserve">Scenario design.</w:t>
      </w:r>
      <w:r>
        <w:t xml:space="preserve"> </w:t>
      </w:r>
      <w:r>
        <w:t xml:space="preserve">Each case was a 10-minute scenario on the age-appropriate manikin, with a trained standardized parent and a simulated patient monitor.</w:t>
      </w:r>
    </w:p>
    <w:p>
      <w:pPr>
        <w:numPr>
          <w:ilvl w:val="0"/>
          <w:numId w:val="1058"/>
        </w:numPr>
        <w:pStyle w:val="Compact"/>
      </w:pPr>
      <w:r>
        <w:t xml:space="preserve">Three scripted deterioration triggers occurred at fixed times (0, 4, and 8 minutes), so every student met the same decision points.</w:t>
      </w:r>
    </w:p>
    <w:p>
      <w:pPr>
        <w:numPr>
          <w:ilvl w:val="0"/>
          <w:numId w:val="1058"/>
        </w:numPr>
        <w:pStyle w:val="Compact"/>
      </w:pPr>
      <w:r>
        <w:t xml:space="preserve">Physiological responses to specified actions were pre-programmed; for example, oxygen saturation rose after oxygen was applied.</w:t>
      </w:r>
    </w:p>
    <w:p>
      <w:pPr>
        <w:numPr>
          <w:ilvl w:val="0"/>
          <w:numId w:val="1058"/>
        </w:numPr>
        <w:pStyle w:val="Compact"/>
      </w:pPr>
      <w:r>
        <w:t xml:space="preserve">A simulated physician answered escalation calls with scripted replies.</w:t>
      </w:r>
    </w:p>
    <w:p>
      <w:pPr>
        <w:pStyle w:val="FirstParagraph"/>
      </w:pPr>
      <w:r>
        <w:t xml:space="preserve">Item 7 was therefore scored from both the reassessment students actually performed after their interventions and their stated reassessment plan.</w:t>
      </w:r>
    </w:p>
    <w:p>
      <w:pPr>
        <w:pStyle w:val="BodyText"/>
      </w:pPr>
      <w:r>
        <w:rPr>
          <w:bCs/>
          <w:b/>
        </w:rPr>
        <w:t xml:space="preserve">Structured reasoning interview.</w:t>
      </w:r>
      <w:r>
        <w:t xml:space="preserve"> </w:t>
      </w:r>
      <w:r>
        <w:t xml:space="preserve">The interview lasted up to 5 minutes. Six pre-recorded video prompts were played on a tablet in a fixed order. Each was followed by a 45-second response window shown by an on-screen timer. The prompts were in English with Arabic on-screen text. They were neutral and did not name the case-analysis headings (Supplementary S5). For example:</w:t>
      </w:r>
      <w:r>
        <w:t xml:space="preserve"> </w:t>
      </w:r>
      <w:r>
        <w:t xml:space="preserve">“</w:t>
      </w:r>
      <w:r>
        <w:t xml:space="preserve">What do you think is happening with this child?</w:t>
      </w:r>
      <w:r>
        <w:t xml:space="preserve">”</w:t>
      </w:r>
      <w:r>
        <w:t xml:space="preserve"> </w:t>
      </w:r>
      <w:r>
        <w:t xml:space="preserve">and</w:t>
      </w:r>
      <w:r>
        <w:t xml:space="preserve"> </w:t>
      </w:r>
      <w:r>
        <w:t xml:space="preserve">“</w:t>
      </w:r>
      <w:r>
        <w:t xml:space="preserve">What would you check next, when, and what would make you call for help?</w:t>
      </w:r>
      <w:r>
        <w:t xml:space="preserve">”</w:t>
      </w:r>
      <w:r>
        <w:t xml:space="preserve"> </w:t>
      </w:r>
      <w:r>
        <w:t xml:space="preserve">The proctor did not interact with the student during the interview. Using pre-recorded prompts removes variation between interviewers and the risk of a live interviewer inferring the student’s arm. Continuous think-aloud was not used.</w:t>
      </w:r>
    </w:p>
    <w:p>
      <w:pPr>
        <w:pStyle w:val="BodyText"/>
      </w:pPr>
      <w:r>
        <w:rPr>
          <w:bCs/>
          <w:b/>
        </w:rPr>
        <w:t xml:space="preserve">Procedural skills (PNPSC).</w:t>
      </w:r>
      <w:r>
        <w:t xml:space="preserve"> </w:t>
      </w:r>
      <w:r>
        <w:t xml:space="preserve">The PNPSC is a 15-item observation checklist completed at a separate 10-minute station in one of the skills rooms (Supplementary Table S5). Tasks were given as explicit written instructions, such as</w:t>
      </w:r>
      <w:r>
        <w:t xml:space="preserve"> </w:t>
      </w:r>
      <w:r>
        <w:t xml:space="preserve">“</w:t>
      </w:r>
      <w:r>
        <w:t xml:space="preserve">Perform and document a complete neurological observation on this child.</w:t>
      </w:r>
      <w:r>
        <w:t xml:space="preserve">”</w:t>
      </w:r>
      <w:r>
        <w:t xml:space="preserve"> </w:t>
      </w:r>
      <w:r>
        <w:t xml:space="preserve">The station therefore measured accuracy of execution, not clinical decision-making. Each item was scored 0 (not performed), 1 (performed incompletely or incorrectly), or 2 (performed correctly), giving a total of 0–30. The same tasks were used on both occasions, and any practice effect applies equally to all arms. Performances were video-recorded and rated by masked raters.</w:t>
      </w:r>
    </w:p>
    <w:p>
      <w:pPr>
        <w:pStyle w:val="BodyText"/>
      </w:pPr>
      <w:r>
        <w:rPr>
          <w:bCs/>
          <w:b/>
        </w:rPr>
        <w:t xml:space="preserve">Knowledge (PNNKT).</w:t>
      </w:r>
      <w:r>
        <w:t xml:space="preserve"> </w:t>
      </w:r>
      <w:r>
        <w:t xml:space="preserve">The PNNKT has two parallel forms (A and B) of 40 single-best-answer items each. The items were mapped to the curriculum blueprint and written to established item-writing guidelines (Haladyna et al., 2002); about 70% are clinical vignettes at the application or analysis level (Anderson and Krathwohl, 2001).</w:t>
      </w:r>
    </w:p>
    <w:p>
      <w:pPr>
        <w:numPr>
          <w:ilvl w:val="0"/>
          <w:numId w:val="1059"/>
        </w:numPr>
        <w:pStyle w:val="Compact"/>
      </w:pPr>
      <w:r>
        <w:rPr>
          <w:bCs/>
          <w:b/>
        </w:rPr>
        <w:t xml:space="preserve">Item selection.</w:t>
      </w:r>
      <w:r>
        <w:t xml:space="preserve"> </w:t>
      </w:r>
      <w:r>
        <w:t xml:space="preserve">Items were drawn from a piloted bank of 96 (Section 2.15). Retention criteria were: difficulty 0.30–0.85; corrected point-biserial correlation of 0.20 or more; and every distractor chosen by at least 5% of examinees.</w:t>
      </w:r>
    </w:p>
    <w:p>
      <w:pPr>
        <w:numPr>
          <w:ilvl w:val="0"/>
          <w:numId w:val="1059"/>
        </w:numPr>
        <w:pStyle w:val="Compact"/>
      </w:pPr>
      <w:r>
        <w:rPr>
          <w:bCs/>
          <w:b/>
        </w:rPr>
        <w:t xml:space="preserve">Form matching.</w:t>
      </w:r>
      <w:r>
        <w:t xml:space="preserve"> </w:t>
      </w:r>
      <w:r>
        <w:t xml:space="preserve">The forms were matched on blueprint cells, cognitive level, and mean difficulty.</w:t>
      </w:r>
    </w:p>
    <w:p>
      <w:pPr>
        <w:numPr>
          <w:ilvl w:val="0"/>
          <w:numId w:val="1059"/>
        </w:numPr>
        <w:pStyle w:val="Compact"/>
      </w:pPr>
      <w:r>
        <w:rPr>
          <w:bCs/>
          <w:b/>
        </w:rPr>
        <w:t xml:space="preserve">Form assignment.</w:t>
      </w:r>
      <w:r>
        <w:t xml:space="preserve"> </w:t>
      </w:r>
      <w:r>
        <w:t xml:space="preserve">Within each section, students were randomly assigned to take either Form A at baseline and Form B after instruction, or the reverse. No student answered the same item twice.</w:t>
      </w:r>
    </w:p>
    <w:p>
      <w:pPr>
        <w:numPr>
          <w:ilvl w:val="0"/>
          <w:numId w:val="1059"/>
        </w:numPr>
        <w:pStyle w:val="Compact"/>
      </w:pPr>
      <w:r>
        <w:rPr>
          <w:bCs/>
          <w:b/>
        </w:rPr>
        <w:t xml:space="preserve">Equating.</w:t>
      </w:r>
      <w:r>
        <w:t xml:space="preserve"> </w:t>
      </w:r>
      <w:r>
        <w:t xml:space="preserve">Scores were placed on a common 0–40 scale by linear equating, using the random-groups design at baseline (Kolen and Brennan, 2014).</w:t>
      </w:r>
    </w:p>
    <w:p>
      <w:pPr>
        <w:numPr>
          <w:ilvl w:val="0"/>
          <w:numId w:val="1059"/>
        </w:numPr>
        <w:pStyle w:val="Compact"/>
      </w:pPr>
      <w:r>
        <w:rPr>
          <w:bCs/>
          <w:b/>
        </w:rPr>
        <w:t xml:space="preserve">Administration.</w:t>
      </w:r>
      <w:r>
        <w:t xml:space="preserve"> </w:t>
      </w:r>
      <w:r>
        <w:t xml:space="preserve">The test was computer-based and proctored. It was given to the whole cohort simultaneously in two adjacent computer halls on 11 February and 8 April 2026, with a 60-minute limit. Item and option order were randomized for each student. No answers or scores were released until the study ended.</w:t>
      </w:r>
    </w:p>
    <w:p>
      <w:pPr>
        <w:numPr>
          <w:ilvl w:val="0"/>
          <w:numId w:val="1059"/>
        </w:numPr>
        <w:pStyle w:val="Compact"/>
      </w:pPr>
      <w:r>
        <w:rPr>
          <w:bCs/>
          <w:b/>
        </w:rPr>
        <w:t xml:space="preserve">Timing.</w:t>
      </w:r>
      <w:r>
        <w:t xml:space="preserve"> </w:t>
      </w:r>
      <w:r>
        <w:t xml:space="preserve">The test was given after all simulation and skills assessments at each occasion, so its items could not cue performance in the cases. It was administered in English, the language of instruction, and English course grade was recorded as a covariate.</w:t>
      </w:r>
    </w:p>
    <w:p>
      <w:pPr>
        <w:pStyle w:val="FirstParagraph"/>
      </w:pPr>
      <w:r>
        <w:rPr>
          <w:bCs/>
          <w:b/>
        </w:rPr>
        <w:t xml:space="preserve">Order of assessment.</w:t>
      </w:r>
      <w:r>
        <w:t xml:space="preserve"> </w:t>
      </w:r>
      <w:r>
        <w:t xml:space="preserve">At each occasion the order was: the two reasoning cases, then the skills station (same visit), then the knowledge test (cohort sitting on the final day). No assessment counted toward course grades.</w:t>
      </w:r>
    </w:p>
    <w:p>
      <w:pPr>
        <w:pStyle w:val="BodyText"/>
      </w:pPr>
      <w:r>
        <w:rPr>
          <w:bCs/>
          <w:b/>
        </w:rPr>
        <w:t xml:space="preserve">Table 3.</w:t>
      </w:r>
      <w:r>
        <w:t xml:space="preserve"> </w:t>
      </w:r>
      <w:r>
        <w:t xml:space="preserve">Outcome hierarchy and assessment schedule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Instrument and method</w:t>
            </w:r>
          </w:p>
        </w:tc>
        <w:tc>
          <w:tcPr/>
          <w:p>
            <w:pPr>
              <w:pStyle w:val="Compact"/>
              <w:jc w:val="left"/>
            </w:pPr>
            <w:r>
              <w:t xml:space="preserve">Score range</w:t>
            </w:r>
          </w:p>
        </w:tc>
        <w:tc>
          <w:tcPr/>
          <w:p>
            <w:pPr>
              <w:pStyle w:val="Compact"/>
              <w:jc w:val="left"/>
            </w:pPr>
            <w:r>
              <w:t xml:space="preserve">Timing</w:t>
            </w:r>
          </w:p>
        </w:tc>
        <w:tc>
          <w:tcPr/>
          <w:p>
            <w:pPr>
              <w:pStyle w:val="Compact"/>
              <w:jc w:val="left"/>
            </w:pPr>
            <w:r>
              <w:t xml:space="preserve">Raters and masking</w:t>
            </w:r>
          </w:p>
        </w:tc>
      </w:tr>
      <w:tr>
        <w:tc>
          <w:tcPr/>
          <w:p>
            <w:pPr>
              <w:pStyle w:val="Compact"/>
              <w:jc w:val="left"/>
            </w:pPr>
            <w:r>
              <w:t xml:space="preserve">Clinical reasoning (primary)</w:t>
            </w:r>
          </w:p>
        </w:tc>
        <w:tc>
          <w:tcPr/>
          <w:p>
            <w:pPr>
              <w:pStyle w:val="Compact"/>
              <w:jc w:val="left"/>
            </w:pPr>
            <w:r>
              <w:t xml:space="preserve">PN-CRER: 8 items scored 0–3 against case-specific keys; two randomly assigned unseen cases per occasion (10-min scenario + 5-min pre-recorded-prompt interview); video-recorded</w:t>
            </w:r>
          </w:p>
        </w:tc>
        <w:tc>
          <w:tcPr/>
          <w:p>
            <w:pPr>
              <w:pStyle w:val="Compact"/>
              <w:jc w:val="left"/>
            </w:pPr>
            <w:r>
              <w:t xml:space="preserve">0–24 per case; occasion score = mean of two cases; higher = better</w:t>
            </w:r>
          </w:p>
        </w:tc>
        <w:tc>
          <w:tcPr/>
          <w:p>
            <w:pPr>
              <w:pStyle w:val="Compact"/>
              <w:jc w:val="left"/>
            </w:pPr>
            <w:r>
              <w:t xml:space="preserve">Baseline (1–10 Feb, before allocation) and post-instruction (29 Mar – 7 Apr; 12–23 days after session 4)</w:t>
            </w:r>
          </w:p>
        </w:tc>
        <w:tc>
          <w:tcPr/>
          <w:p>
            <w:pPr>
              <w:pStyle w:val="Compact"/>
              <w:jc w:val="left"/>
            </w:pPr>
            <w:r>
              <w:t xml:space="preserve">Three primary raters (recordings allocated at random, stratified by arm × occasion × case); 20% independently second-rated; all masked to arm and occasion</w:t>
            </w:r>
          </w:p>
        </w:tc>
      </w:tr>
      <w:tr>
        <w:tc>
          <w:tcPr/>
          <w:p>
            <w:pPr>
              <w:pStyle w:val="Compact"/>
              <w:jc w:val="left"/>
            </w:pPr>
            <w:r>
              <w:t xml:space="preserve">Knowledge (secondary)</w:t>
            </w:r>
          </w:p>
        </w:tc>
        <w:tc>
          <w:tcPr/>
          <w:p>
            <w:pPr>
              <w:pStyle w:val="Compact"/>
              <w:jc w:val="left"/>
            </w:pPr>
            <w:r>
              <w:t xml:space="preserve">PNNKT: parallel forms A/B, 40 items each, counterbalanced; computer-based; equated</w:t>
            </w:r>
          </w:p>
        </w:tc>
        <w:tc>
          <w:tcPr/>
          <w:p>
            <w:pPr>
              <w:pStyle w:val="Compact"/>
              <w:jc w:val="left"/>
            </w:pPr>
            <w:r>
              <w:t xml:space="preserve">0–40; higher = better</w:t>
            </w:r>
          </w:p>
        </w:tc>
        <w:tc>
          <w:tcPr/>
          <w:p>
            <w:pPr>
              <w:pStyle w:val="Compact"/>
              <w:jc w:val="left"/>
            </w:pPr>
            <w:r>
              <w:t xml:space="preserve">11 Feb and 8 Apr (22–24 days after session 4)</w:t>
            </w:r>
          </w:p>
        </w:tc>
        <w:tc>
          <w:tcPr/>
          <w:p>
            <w:pPr>
              <w:pStyle w:val="Compact"/>
              <w:jc w:val="left"/>
            </w:pPr>
            <w:r>
              <w:t xml:space="preserve">Automated scoring against answer key</w:t>
            </w:r>
          </w:p>
        </w:tc>
      </w:tr>
      <w:tr>
        <w:tc>
          <w:tcPr/>
          <w:p>
            <w:pPr>
              <w:pStyle w:val="Compact"/>
              <w:jc w:val="left"/>
            </w:pPr>
            <w:r>
              <w:t xml:space="preserve">Procedural skills (secondary)</w:t>
            </w:r>
          </w:p>
        </w:tc>
        <w:tc>
          <w:tcPr/>
          <w:p>
            <w:pPr>
              <w:pStyle w:val="Compact"/>
              <w:jc w:val="left"/>
            </w:pPr>
            <w:r>
              <w:t xml:space="preserve">PNPSC: 15-item checklist at a separate instructed-task station; video-recorded</w:t>
            </w:r>
          </w:p>
        </w:tc>
        <w:tc>
          <w:tcPr/>
          <w:p>
            <w:pPr>
              <w:pStyle w:val="Compact"/>
              <w:jc w:val="left"/>
            </w:pPr>
            <w:r>
              <w:t xml:space="preserve">0–30; higher = better</w:t>
            </w:r>
          </w:p>
        </w:tc>
        <w:tc>
          <w:tcPr/>
          <w:p>
            <w:pPr>
              <w:pStyle w:val="Compact"/>
              <w:jc w:val="left"/>
            </w:pPr>
            <w:r>
              <w:t xml:space="preserve">Same visit as the reasoning cases</w:t>
            </w:r>
          </w:p>
        </w:tc>
        <w:tc>
          <w:tcPr/>
          <w:p>
            <w:pPr>
              <w:pStyle w:val="Compact"/>
              <w:jc w:val="left"/>
            </w:pPr>
            <w:r>
              <w:t xml:space="preserve">One primary rater; 25% second-rated; both masked to arm and occasion</w:t>
            </w:r>
          </w:p>
        </w:tc>
      </w:tr>
      <w:tr>
        <w:tc>
          <w:tcPr/>
          <w:p>
            <w:pPr>
              <w:pStyle w:val="Compact"/>
              <w:jc w:val="left"/>
            </w:pPr>
            <w:r>
              <w:t xml:space="preserve">Critical safety error (secondary)</w:t>
            </w:r>
          </w:p>
        </w:tc>
        <w:tc>
          <w:tcPr/>
          <w:p>
            <w:pPr>
              <w:pStyle w:val="Compact"/>
              <w:jc w:val="left"/>
            </w:pPr>
            <w:r>
              <w:t xml:space="preserve">Case-key-defined critical errors coded during PN-CRER rating</w:t>
            </w:r>
          </w:p>
        </w:tc>
        <w:tc>
          <w:tcPr/>
          <w:p>
            <w:pPr>
              <w:pStyle w:val="Compact"/>
              <w:jc w:val="left"/>
            </w:pPr>
            <w:r>
              <w:t xml:space="preserve">Binary (any error per occasion)</w:t>
            </w:r>
          </w:p>
        </w:tc>
        <w:tc>
          <w:tcPr/>
          <w:p>
            <w:pPr>
              <w:pStyle w:val="Compact"/>
              <w:jc w:val="left"/>
            </w:pPr>
            <w:r>
              <w:t xml:space="preserve">As primary</w:t>
            </w:r>
          </w:p>
        </w:tc>
        <w:tc>
          <w:tcPr/>
          <w:p>
            <w:pPr>
              <w:pStyle w:val="Compact"/>
              <w:jc w:val="left"/>
            </w:pPr>
            <w:r>
              <w:t xml:space="preserve">As primary</w:t>
            </w:r>
          </w:p>
        </w:tc>
      </w:tr>
      <w:tr>
        <w:tc>
          <w:tcPr/>
          <w:p>
            <w:pPr>
              <w:pStyle w:val="Compact"/>
              <w:jc w:val="left"/>
            </w:pPr>
            <w:r>
              <w:t xml:space="preserve">Process (exploratory)</w:t>
            </w:r>
          </w:p>
        </w:tc>
        <w:tc>
          <w:tcPr/>
          <w:p>
            <w:pPr>
              <w:pStyle w:val="Compact"/>
              <w:jc w:val="left"/>
            </w:pPr>
            <w:r>
              <w:t xml:space="preserve">Fidelity, dose, product quality, cognitive load, acceptability</w:t>
            </w:r>
          </w:p>
        </w:tc>
        <w:tc>
          <w:tcPr/>
          <w:p>
            <w:pPr>
              <w:pStyle w:val="Compact"/>
              <w:jc w:val="left"/>
            </w:pPr>
            <w:r>
              <w:t xml:space="preserve">See Section 2.12</w:t>
            </w:r>
          </w:p>
        </w:tc>
        <w:tc>
          <w:tcPr/>
          <w:p>
            <w:pPr>
              <w:pStyle w:val="Compact"/>
              <w:jc w:val="left"/>
            </w:pPr>
            <w:r>
              <w:t xml:space="preserve">During and after teaching</w:t>
            </w:r>
          </w:p>
        </w:tc>
        <w:tc>
          <w:tcPr/>
          <w:p>
            <w:pPr>
              <w:pStyle w:val="Compact"/>
              <w:jc w:val="left"/>
            </w:pPr>
            <w:r>
              <w:t xml:space="preserve">Coders independent of teaching</w:t>
            </w:r>
          </w:p>
        </w:tc>
      </w:tr>
    </w:tbl>
    <w:bookmarkEnd w:id="36"/>
    <w:bookmarkStart w:id="37" w:name="X34faa3e1a7960747eb9d10cdaba5dae1c0815cc"/>
    <w:p>
      <w:pPr>
        <w:pStyle w:val="Heading2"/>
      </w:pPr>
      <w:r>
        <w:t xml:space="preserve">2.14. Assessment Procedures and Protection of Assessment Content</w:t>
      </w:r>
    </w:p>
    <w:p>
      <w:pPr>
        <w:pStyle w:val="FirstParagraph"/>
      </w:pPr>
      <w:r>
        <w:rPr>
          <w:bCs/>
          <w:b/>
        </w:rPr>
        <w:t xml:space="preserve">Schedule.</w:t>
      </w:r>
      <w:r>
        <w:t xml:space="preserve"> </w:t>
      </w:r>
      <w:r>
        <w:t xml:space="preserve">Baseline assessments took place from 1 to 10 February 2026 in timetable order, before allocation. Post-instruction assessments took place from 29 March to 7 April 2026 in the five prespecified rounds (Section 2.5).</w:t>
      </w:r>
    </w:p>
    <w:p>
      <w:pPr>
        <w:numPr>
          <w:ilvl w:val="0"/>
          <w:numId w:val="1060"/>
        </w:numPr>
        <w:pStyle w:val="Compact"/>
      </w:pPr>
      <w:r>
        <w:t xml:space="preserve">Each section was assessed in a single half-day slot (08:00–12:15 or 12:45–17:00). A sixteenth slot at each occasion was reserved for make-up assessments.</w:t>
      </w:r>
    </w:p>
    <w:p>
      <w:pPr>
        <w:numPr>
          <w:ilvl w:val="0"/>
          <w:numId w:val="1060"/>
        </w:numPr>
        <w:pStyle w:val="Compact"/>
      </w:pPr>
      <w:r>
        <w:t xml:space="preserve">Within a slot, the six simulation rooms ran in parallel (three set up for young-child cases and three for school-age cases), alongside the two skills rooms.</w:t>
      </w:r>
    </w:p>
    <w:p>
      <w:pPr>
        <w:numPr>
          <w:ilvl w:val="0"/>
          <w:numId w:val="1060"/>
        </w:numPr>
        <w:pStyle w:val="Compact"/>
      </w:pPr>
      <w:r>
        <w:t xml:space="preserve">Each student completed both cases and the skills station in about 60 minutes. Each case took 20 minutes: a 3-minute standard orientation, the 10-minute scenario, the 5-minute interview, and a 2-minute room reset.</w:t>
      </w:r>
    </w:p>
    <w:p>
      <w:pPr>
        <w:pStyle w:val="FirstParagraph"/>
      </w:pPr>
      <w:r>
        <w:rPr>
          <w:bCs/>
          <w:b/>
        </w:rPr>
        <w:t xml:space="preserve">Sequestration and confidentiality.</w:t>
      </w:r>
      <w:r>
        <w:t xml:space="preserve"> </w:t>
      </w:r>
      <w:r>
        <w:t xml:space="preserve">Students in a section reported together. They stored their phones and notes and waited in a supervised holding room. After finishing, they moved to a separate supervised room and stayed there until every member of their section had finished. All students signed a confidentiality pledge.</w:t>
      </w:r>
    </w:p>
    <w:p>
      <w:pPr>
        <w:pStyle w:val="BodyText"/>
      </w:pPr>
      <w:r>
        <w:rPr>
          <w:bCs/>
          <w:b/>
        </w:rPr>
        <w:t xml:space="preserve">Protection against leakage between sections.</w:t>
      </w:r>
      <w:r>
        <w:t xml:space="preserve"> </w:t>
      </w:r>
      <w:r>
        <w:t xml:space="preserve">Three further measures limited leakage of case content between sections:</w:t>
      </w:r>
    </w:p>
    <w:p>
      <w:pPr>
        <w:numPr>
          <w:ilvl w:val="0"/>
          <w:numId w:val="1061"/>
        </w:numPr>
        <w:pStyle w:val="Compact"/>
      </w:pPr>
      <w:r>
        <w:t xml:space="preserve">each student’s cases were drawn at random from the eight-case bank;</w:t>
      </w:r>
    </w:p>
    <w:p>
      <w:pPr>
        <w:numPr>
          <w:ilvl w:val="0"/>
          <w:numId w:val="1061"/>
        </w:numPr>
        <w:pStyle w:val="Compact"/>
      </w:pPr>
      <w:r>
        <w:t xml:space="preserve">the round schedule balanced assessment dates across arms; and</w:t>
      </w:r>
    </w:p>
    <w:p>
      <w:pPr>
        <w:numPr>
          <w:ilvl w:val="0"/>
          <w:numId w:val="1061"/>
        </w:numPr>
        <w:pStyle w:val="Compact"/>
      </w:pPr>
      <w:r>
        <w:t xml:space="preserve">students reported any prior knowledge of the cases (Section 2.11).</w:t>
      </w:r>
    </w:p>
    <w:p>
      <w:pPr>
        <w:pStyle w:val="FirstParagraph"/>
      </w:pPr>
      <w:r>
        <w:rPr>
          <w:bCs/>
          <w:b/>
        </w:rPr>
        <w:t xml:space="preserve">Interval since teaching.</w:t>
      </w:r>
      <w:r>
        <w:t xml:space="preserve"> </w:t>
      </w:r>
      <w:r>
        <w:t xml:space="preserve">The interval between session 4 and post-instruction simulation assessment was 12–23 days. The round schedule balanced this interval across arms. It was recorded for each student and used in sensitivity analyses.</w:t>
      </w:r>
    </w:p>
    <w:p>
      <w:pPr>
        <w:pStyle w:val="BodyText"/>
      </w:pPr>
      <w:r>
        <w:rPr>
          <w:bCs/>
          <w:b/>
        </w:rPr>
        <w:t xml:space="preserve">Recording quality and absences.</w:t>
      </w:r>
      <w:r>
        <w:t xml:space="preserve"> </w:t>
      </w:r>
      <w:r>
        <w:t xml:space="preserve">All recordings were captured with SimCapture and checked for quality on the same day. A case with failed audio or video was treated as missing. Students who missed both their scheduled slot and the make-up slot were treated as having missing data.</w:t>
      </w:r>
    </w:p>
    <w:bookmarkEnd w:id="37"/>
    <w:bookmarkStart w:id="38" w:name="Xd6e34abc9de9a1226a0e2558a14fd551eebde1f"/>
    <w:p>
      <w:pPr>
        <w:pStyle w:val="Heading2"/>
      </w:pPr>
      <w:r>
        <w:t xml:space="preserve">2.15. Instrument Development and Validity Evidence</w:t>
      </w:r>
    </w:p>
    <w:p>
      <w:pPr>
        <w:pStyle w:val="FirstParagraph"/>
      </w:pPr>
      <w:r>
        <w:t xml:space="preserve">Validity evidence for the PN-CRER, PNNKT, and PNPSC was collected within a validity-argument framework (Kane, 2013; American Educational Research Association et al., 2014). Evidence was gathered on content, response processes, internal structure, relations to other variables, and consequences. The criteria for each source were specified in advance (Table 4).</w:t>
      </w:r>
    </w:p>
    <w:p>
      <w:pPr>
        <w:pStyle w:val="BodyText"/>
      </w:pPr>
      <w:r>
        <w:rPr>
          <w:bCs/>
          <w:b/>
        </w:rPr>
        <w:t xml:space="preserve">Content.</w:t>
      </w:r>
      <w:r>
        <w:t xml:space="preserve"> </w:t>
      </w:r>
      <w:r>
        <w:t xml:space="preserve">A panel of eight experts reviewed the instruments and cases. None had been involved in developing the instruments, the intervention, or the cases. The panel comprised:</w:t>
      </w:r>
    </w:p>
    <w:p>
      <w:pPr>
        <w:numPr>
          <w:ilvl w:val="0"/>
          <w:numId w:val="1062"/>
        </w:numPr>
        <w:pStyle w:val="Compact"/>
      </w:pPr>
      <w:r>
        <w:t xml:space="preserve">three pediatric nursing faculty members from two other universities;</w:t>
      </w:r>
    </w:p>
    <w:p>
      <w:pPr>
        <w:numPr>
          <w:ilvl w:val="0"/>
          <w:numId w:val="1062"/>
        </w:numPr>
        <w:pStyle w:val="Compact"/>
      </w:pPr>
      <w:r>
        <w:t xml:space="preserve">two pediatric critical care nurse specialists;</w:t>
      </w:r>
    </w:p>
    <w:p>
      <w:pPr>
        <w:numPr>
          <w:ilvl w:val="0"/>
          <w:numId w:val="1062"/>
        </w:numPr>
        <w:pStyle w:val="Compact"/>
      </w:pPr>
      <w:r>
        <w:t xml:space="preserve">one pediatric neurosurgeon;</w:t>
      </w:r>
    </w:p>
    <w:p>
      <w:pPr>
        <w:numPr>
          <w:ilvl w:val="0"/>
          <w:numId w:val="1062"/>
        </w:numPr>
        <w:pStyle w:val="Compact"/>
      </w:pPr>
      <w:r>
        <w:t xml:space="preserve">one pediatric emergency physician; and</w:t>
      </w:r>
    </w:p>
    <w:p>
      <w:pPr>
        <w:numPr>
          <w:ilvl w:val="0"/>
          <w:numId w:val="1062"/>
        </w:numPr>
        <w:pStyle w:val="Compact"/>
      </w:pPr>
      <w:r>
        <w:t xml:space="preserve">one nursing measurement specialist.</w:t>
      </w:r>
    </w:p>
    <w:p>
      <w:pPr>
        <w:pStyle w:val="FirstParagraph"/>
      </w:pPr>
      <w:r>
        <w:t xml:space="preserve">The review ran in two rounds between 16 December 2025 and 8 January 2026. Experts rated the relevance of each PN-CRER item, anchor set, case-key element, PNNKT item, and PNPSC item on a 4-point scale. They commented on clarity, completeness, suitability for the learner level, and coverage of the reasoning phases. They also rated whether the assessment cases were equivalent on the matching criteria. In round 2, each expert stated the smallest between-group difference in PN-CRER occasion score they would consider educationally important; the median of these judgments defined the minimal important difference (Section 2.17).</w:t>
      </w:r>
    </w:p>
    <w:p>
      <w:pPr>
        <w:pStyle w:val="BodyText"/>
      </w:pPr>
      <w:r>
        <w:t xml:space="preserve">The criteria were:</w:t>
      </w:r>
    </w:p>
    <w:p>
      <w:pPr>
        <w:numPr>
          <w:ilvl w:val="0"/>
          <w:numId w:val="1063"/>
        </w:numPr>
        <w:pStyle w:val="Compact"/>
      </w:pPr>
      <w:r>
        <w:t xml:space="preserve">item-level content validity index (I-CVI) of at least 0.78 with a modified kappa of at least 0.74; and</w:t>
      </w:r>
    </w:p>
    <w:p>
      <w:pPr>
        <w:numPr>
          <w:ilvl w:val="0"/>
          <w:numId w:val="1063"/>
        </w:numPr>
        <w:pStyle w:val="Compact"/>
      </w:pPr>
      <w:r>
        <w:t xml:space="preserve">scale-level index by the averaging method (S-CVI/Ave) of at least 0.90 (Lynn, 1986; Polit et al., 2007).</w:t>
      </w:r>
    </w:p>
    <w:p>
      <w:pPr>
        <w:pStyle w:val="FirstParagraph"/>
      </w:pPr>
      <w:r>
        <w:t xml:space="preserve">With eight experts, an I-CVI of at least 0.78 requires at least seven experts to rate an item as relevant. Items below the criterion were revised and re-rated in round 2.</w:t>
      </w:r>
    </w:p>
    <w:p>
      <w:pPr>
        <w:pStyle w:val="BodyText"/>
      </w:pPr>
      <w:r>
        <w:rPr>
          <w:bCs/>
          <w:b/>
        </w:rPr>
        <w:t xml:space="preserve">Response processes.</w:t>
      </w:r>
      <w:r>
        <w:t xml:space="preserve"> </w:t>
      </w:r>
      <w:r>
        <w:t xml:space="preserve">Six fourth-year volunteers took part in think-aloud cognitive interviews on the instructions and interview prompts, in English and Arabic. Two pilot raters thought aloud while scoring six recordings, to check how they interpreted the anchors. All resulting revisions were documented.</w:t>
      </w:r>
    </w:p>
    <w:p>
      <w:pPr>
        <w:pStyle w:val="BodyText"/>
      </w:pPr>
      <w:r>
        <w:rPr>
          <w:bCs/>
          <w:b/>
        </w:rPr>
        <w:t xml:space="preserve">Translation and language.</w:t>
      </w:r>
      <w:r>
        <w:t xml:space="preserve"> </w:t>
      </w:r>
      <w:r>
        <w:t xml:space="preserve">The assessment instructions and the on-screen prompt text were translated into Arabic following established guidance (Beaton et al., 2000):</w:t>
      </w:r>
    </w:p>
    <w:p>
      <w:pPr>
        <w:numPr>
          <w:ilvl w:val="0"/>
          <w:numId w:val="1064"/>
        </w:numPr>
        <w:pStyle w:val="Compact"/>
      </w:pPr>
      <w:r>
        <w:t xml:space="preserve">forward translation by two translators;</w:t>
      </w:r>
    </w:p>
    <w:p>
      <w:pPr>
        <w:numPr>
          <w:ilvl w:val="0"/>
          <w:numId w:val="1064"/>
        </w:numPr>
        <w:pStyle w:val="Compact"/>
      </w:pPr>
      <w:r>
        <w:t xml:space="preserve">independent back-translation by two others;</w:t>
      </w:r>
    </w:p>
    <w:p>
      <w:pPr>
        <w:numPr>
          <w:ilvl w:val="0"/>
          <w:numId w:val="1064"/>
        </w:numPr>
        <w:pStyle w:val="Compact"/>
      </w:pPr>
      <w:r>
        <w:t xml:space="preserve">reconciliation by an expert committee; and</w:t>
      </w:r>
    </w:p>
    <w:p>
      <w:pPr>
        <w:numPr>
          <w:ilvl w:val="0"/>
          <w:numId w:val="1064"/>
        </w:numPr>
        <w:pStyle w:val="Compact"/>
      </w:pPr>
      <w:r>
        <w:t xml:space="preserve">cognitive testing (above).</w:t>
      </w:r>
    </w:p>
    <w:p>
      <w:pPr>
        <w:pStyle w:val="FirstParagraph"/>
      </w:pPr>
      <w:r>
        <w:t xml:space="preserve">Students could answer the interview in English or Arabic, and the language used was recorded. All raters were bilingual. The scoring manual instructed raters to score content and to disregard grammar and fluency.</w:t>
      </w:r>
    </w:p>
    <w:p>
      <w:pPr>
        <w:pStyle w:val="BodyText"/>
      </w:pPr>
      <w:r>
        <w:rPr>
          <w:bCs/>
          <w:b/>
        </w:rPr>
        <w:t xml:space="preserve">Pilot (18–22 January 2026).</w:t>
      </w:r>
      <w:r>
        <w:t xml:space="preserve"> </w:t>
      </w:r>
      <w:r>
        <w:t xml:space="preserve">The pilot used fourth-year students, who had completed the pediatric course and were not eligible for the main study, and registered nurses. It had three components:</w:t>
      </w:r>
    </w:p>
    <w:p>
      <w:pPr>
        <w:numPr>
          <w:ilvl w:val="0"/>
          <w:numId w:val="1065"/>
        </w:numPr>
        <w:pStyle w:val="Compact"/>
      </w:pPr>
    </w:p>
    <w:p>
      <w:pPr>
        <w:numPr>
          <w:ilvl w:val="1"/>
          <w:numId w:val="1066"/>
        </w:numPr>
        <w:pStyle w:val="Compact"/>
      </w:pPr>
      <w:r>
        <w:rPr>
          <w:bCs/>
          <w:b/>
        </w:rPr>
        <w:t xml:space="preserve">Assessment pilot.</w:t>
      </w:r>
      <w:r>
        <w:t xml:space="preserve"> </w:t>
      </w:r>
      <w:r>
        <w:t xml:space="preserve">Twenty-four fourth-year students and eight pediatric emergency or critical care nurses (at least 3 years’ experience) each completed two assessment cases and the skills station. Every bank case was piloted at least eight times. Two experienced faculty members rated the pilot performances; they were neither main-study raters nor instrument developers.</w:t>
      </w:r>
    </w:p>
    <w:p>
      <w:pPr>
        <w:numPr>
          <w:ilvl w:val="0"/>
          <w:numId w:val="1065"/>
        </w:numPr>
        <w:pStyle w:val="Compact"/>
      </w:pPr>
    </w:p>
    <w:p>
      <w:pPr>
        <w:numPr>
          <w:ilvl w:val="1"/>
          <w:numId w:val="1067"/>
        </w:numPr>
        <w:pStyle w:val="Compact"/>
      </w:pPr>
      <w:r>
        <w:rPr>
          <w:bCs/>
          <w:b/>
        </w:rPr>
        <w:t xml:space="preserve">Knowledge item bank.</w:t>
      </w:r>
      <w:r>
        <w:t xml:space="preserve"> </w:t>
      </w:r>
      <w:r>
        <w:t xml:space="preserve">At least 100 fourth-year volunteers sat the 96-item bank in one proctored session.</w:t>
      </w:r>
    </w:p>
    <w:p>
      <w:pPr>
        <w:numPr>
          <w:ilvl w:val="0"/>
          <w:numId w:val="1065"/>
        </w:numPr>
        <w:pStyle w:val="Compact"/>
      </w:pPr>
    </w:p>
    <w:p>
      <w:pPr>
        <w:numPr>
          <w:ilvl w:val="1"/>
          <w:numId w:val="1068"/>
        </w:numPr>
        <w:pStyle w:val="Compact"/>
      </w:pPr>
      <w:r>
        <w:rPr>
          <w:bCs/>
          <w:b/>
        </w:rPr>
        <w:t xml:space="preserve">Teaching rehearsal.</w:t>
      </w:r>
      <w:r>
        <w:t xml:space="preserve"> </w:t>
      </w:r>
      <w:r>
        <w:t xml:space="preserve">Session 1 was rehearsed once in each arm with 10 fourth-year volunteers per arm.</w:t>
      </w:r>
    </w:p>
    <w:p>
      <w:pPr>
        <w:pStyle w:val="FirstParagraph"/>
      </w:pPr>
      <w:r>
        <w:t xml:space="preserve">All pilot participants gave written consent and signed confidentiality agreements. Progression to the main study required all of the following, set in advance:</w:t>
      </w:r>
    </w:p>
    <w:p>
      <w:pPr>
        <w:numPr>
          <w:ilvl w:val="0"/>
          <w:numId w:val="1069"/>
        </w:numPr>
        <w:pStyle w:val="Compact"/>
      </w:pPr>
      <w:r>
        <w:t xml:space="preserve">scenario timing within ±1 minute in at least 90% of runs;</w:t>
      </w:r>
    </w:p>
    <w:p>
      <w:pPr>
        <w:numPr>
          <w:ilvl w:val="0"/>
          <w:numId w:val="1069"/>
        </w:numPr>
        <w:pStyle w:val="Compact"/>
      </w:pPr>
      <w:r>
        <w:t xml:space="preserve">all cues visible and audible;</w:t>
      </w:r>
    </w:p>
    <w:p>
      <w:pPr>
        <w:numPr>
          <w:ilvl w:val="0"/>
          <w:numId w:val="1069"/>
        </w:numPr>
        <w:pStyle w:val="Compact"/>
      </w:pPr>
      <w:r>
        <w:t xml:space="preserve">pilot inter-rater ICC for the PN-CRER of at least 0.75; and</w:t>
      </w:r>
    </w:p>
    <w:p>
      <w:pPr>
        <w:numPr>
          <w:ilvl w:val="0"/>
          <w:numId w:val="1069"/>
        </w:numPr>
        <w:pStyle w:val="Compact"/>
      </w:pPr>
      <w:r>
        <w:t xml:space="preserve">no case with more than 15% of scores at the floor or ceiling.</w:t>
      </w:r>
    </w:p>
    <w:p>
      <w:pPr>
        <w:pStyle w:val="FirstParagraph"/>
      </w:pPr>
      <w:r>
        <w:t xml:space="preserve">Pilot results and resulting modifications are reported in Supplementary S8. Pilot data were excluded from the main analysis.</w:t>
      </w:r>
    </w:p>
    <w:p>
      <w:pPr>
        <w:pStyle w:val="BodyText"/>
      </w:pPr>
      <w:r>
        <w:rPr>
          <w:bCs/>
          <w:b/>
        </w:rPr>
        <w:t xml:space="preserve">Internal structure.</w:t>
      </w:r>
    </w:p>
    <w:p>
      <w:pPr>
        <w:numPr>
          <w:ilvl w:val="0"/>
          <w:numId w:val="1070"/>
        </w:numPr>
        <w:pStyle w:val="Compact"/>
      </w:pPr>
      <w:r>
        <w:rPr>
          <w:iCs/>
          <w:i/>
        </w:rPr>
        <w:t xml:space="preserve">Generalizability study.</w:t>
      </w:r>
      <w:r>
        <w:t xml:space="preserve"> </w:t>
      </w:r>
      <w:r>
        <w:t xml:space="preserve">A persons × cases × raters generalizability study used a fully crossed subset of 120 post-instruction recordings (60 students, two cases each) scored by all four raters. A decision study then estimated reliability for different numbers of cases and raters (Brennan, 2001).</w:t>
      </w:r>
    </w:p>
    <w:p>
      <w:pPr>
        <w:numPr>
          <w:ilvl w:val="0"/>
          <w:numId w:val="1070"/>
        </w:numPr>
        <w:pStyle w:val="Compact"/>
      </w:pPr>
      <w:r>
        <w:rPr>
          <w:iCs/>
          <w:i/>
        </w:rPr>
        <w:t xml:space="preserve">PN-CRER.</w:t>
      </w:r>
      <w:r>
        <w:t xml:space="preserve"> </w:t>
      </w:r>
      <w:r>
        <w:t xml:space="preserve">Ordinal omega was calculated for each case. A one-factor confirmatory factor analysis (WLSMV estimation) was run as an exploratory analysis.</w:t>
      </w:r>
    </w:p>
    <w:p>
      <w:pPr>
        <w:numPr>
          <w:ilvl w:val="0"/>
          <w:numId w:val="1070"/>
        </w:numPr>
        <w:pStyle w:val="Compact"/>
      </w:pPr>
      <w:r>
        <w:rPr>
          <w:iCs/>
          <w:i/>
        </w:rPr>
        <w:t xml:space="preserve">PNNKT.</w:t>
      </w:r>
      <w:r>
        <w:t xml:space="preserve"> </w:t>
      </w:r>
      <w:r>
        <w:t xml:space="preserve">For each form, KR-20 and item difficulty and discrimination were calculated.</w:t>
      </w:r>
    </w:p>
    <w:p>
      <w:pPr>
        <w:pStyle w:val="FirstParagraph"/>
      </w:pPr>
      <w:r>
        <w:rPr>
          <w:bCs/>
          <w:b/>
        </w:rPr>
        <w:t xml:space="preserve">Relations to other variables.</w:t>
      </w:r>
      <w:r>
        <w:t xml:space="preserve"> </w:t>
      </w:r>
      <w:r>
        <w:t xml:space="preserve">Four patterns of association were specified in advance:</w:t>
      </w:r>
    </w:p>
    <w:p>
      <w:pPr>
        <w:numPr>
          <w:ilvl w:val="0"/>
          <w:numId w:val="1071"/>
        </w:numPr>
        <w:pStyle w:val="Compact"/>
      </w:pPr>
      <w:r>
        <w:rPr>
          <w:iCs/>
          <w:i/>
        </w:rPr>
        <w:t xml:space="preserve">Convergent.</w:t>
      </w:r>
      <w:r>
        <w:t xml:space="preserve"> </w:t>
      </w:r>
      <w:r>
        <w:t xml:space="preserve">A separately trained rater, masked to arm and occasion, scored a random 15% of PN-CRER recordings (about 270) with the Lasater Clinical Judgment Rubric (LCJR; Lasater, 2007). A correlation with the PN-CRER of at least 0.50 was expected.</w:t>
      </w:r>
    </w:p>
    <w:p>
      <w:pPr>
        <w:numPr>
          <w:ilvl w:val="0"/>
          <w:numId w:val="1071"/>
        </w:numPr>
        <w:pStyle w:val="Compact"/>
      </w:pPr>
      <w:r>
        <w:rPr>
          <w:iCs/>
          <w:i/>
        </w:rPr>
        <w:t xml:space="preserve">Related but distinct.</w:t>
      </w:r>
      <w:r>
        <w:t xml:space="preserve"> </w:t>
      </w:r>
      <w:r>
        <w:t xml:space="preserve">A correlation between the PN-CRER and the PNNKT of 0.30–0.60 was expected.</w:t>
      </w:r>
    </w:p>
    <w:p>
      <w:pPr>
        <w:numPr>
          <w:ilvl w:val="0"/>
          <w:numId w:val="1071"/>
        </w:numPr>
        <w:pStyle w:val="Compact"/>
      </w:pPr>
      <w:r>
        <w:rPr>
          <w:iCs/>
          <w:i/>
        </w:rPr>
        <w:t xml:space="preserve">Discriminant.</w:t>
      </w:r>
      <w:r>
        <w:t xml:space="preserve"> </w:t>
      </w:r>
      <w:r>
        <w:t xml:space="preserve">The correlation between the PN-CRER and the PNPSC was expected to be lower than that with the LCJR.</w:t>
      </w:r>
    </w:p>
    <w:p>
      <w:pPr>
        <w:numPr>
          <w:ilvl w:val="0"/>
          <w:numId w:val="1071"/>
        </w:numPr>
        <w:pStyle w:val="Compact"/>
      </w:pPr>
      <w:r>
        <w:rPr>
          <w:iCs/>
          <w:i/>
        </w:rPr>
        <w:t xml:space="preserve">Known groups.</w:t>
      </w:r>
      <w:r>
        <w:t xml:space="preserve"> </w:t>
      </w:r>
      <w:r>
        <w:t xml:space="preserve">In the pilot, registered nurses were expected to outperform fourth-year students (d ≥ 0.80).</w:t>
      </w:r>
    </w:p>
    <w:p>
      <w:pPr>
        <w:pStyle w:val="FirstParagraph"/>
      </w:pPr>
      <w:r>
        <w:t xml:space="preserve">Sensitivity to change was examined as the post-instruction minus baseline difference, pooled across arms.</w:t>
      </w:r>
    </w:p>
    <w:p>
      <w:pPr>
        <w:pStyle w:val="BodyText"/>
      </w:pPr>
      <w:r>
        <w:rPr>
          <w:bCs/>
          <w:b/>
        </w:rPr>
        <w:t xml:space="preserve">Consequences.</w:t>
      </w:r>
      <w:r>
        <w:t xml:space="preserve"> </w:t>
      </w:r>
      <w:r>
        <w:t xml:space="preserve">All assessments were formative and did not count toward course grades. Students were informed of this before consenting.</w:t>
      </w:r>
    </w:p>
    <w:p>
      <w:pPr>
        <w:pStyle w:val="BodyText"/>
      </w:pPr>
      <w:r>
        <w:rPr>
          <w:bCs/>
          <w:b/>
        </w:rPr>
        <w:t xml:space="preserve">Table 4.</w:t>
      </w:r>
      <w:r>
        <w:t xml:space="preserve"> </w:t>
      </w:r>
      <w:r>
        <w:t xml:space="preserve">Validity and reliability evidence with prespecified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of evidence</w:t>
            </w:r>
          </w:p>
        </w:tc>
        <w:tc>
          <w:tcPr/>
          <w:p>
            <w:pPr>
              <w:pStyle w:val="Compact"/>
              <w:jc w:val="left"/>
            </w:pPr>
            <w:r>
              <w:t xml:space="preserve">Method</w:t>
            </w:r>
          </w:p>
        </w:tc>
        <w:tc>
          <w:tcPr/>
          <w:p>
            <w:pPr>
              <w:pStyle w:val="Compact"/>
              <w:jc w:val="left"/>
            </w:pPr>
            <w:r>
              <w:t xml:space="preserve">Criterion</w:t>
            </w:r>
          </w:p>
        </w:tc>
      </w:tr>
      <w:tr>
        <w:tc>
          <w:tcPr/>
          <w:p>
            <w:pPr>
              <w:pStyle w:val="Compact"/>
              <w:jc w:val="left"/>
            </w:pPr>
            <w:r>
              <w:t xml:space="preserve">Content</w:t>
            </w:r>
          </w:p>
        </w:tc>
        <w:tc>
          <w:tcPr/>
          <w:p>
            <w:pPr>
              <w:pStyle w:val="Compact"/>
              <w:jc w:val="left"/>
            </w:pPr>
            <w:r>
              <w:t xml:space="preserve">Eight independent experts, two rounds</w:t>
            </w:r>
          </w:p>
        </w:tc>
        <w:tc>
          <w:tcPr/>
          <w:p>
            <w:pPr>
              <w:pStyle w:val="Compact"/>
              <w:jc w:val="left"/>
            </w:pPr>
            <w:r>
              <w:t xml:space="preserve">I-CVI ≥ 0.78 with modified kappa ≥ 0.74; S-CVI/Ave ≥ 0.90</w:t>
            </w:r>
          </w:p>
        </w:tc>
      </w:tr>
      <w:tr>
        <w:tc>
          <w:tcPr/>
          <w:p>
            <w:pPr>
              <w:pStyle w:val="Compact"/>
              <w:jc w:val="left"/>
            </w:pPr>
            <w:r>
              <w:t xml:space="preserve">Response processes</w:t>
            </w:r>
          </w:p>
        </w:tc>
        <w:tc>
          <w:tcPr/>
          <w:p>
            <w:pPr>
              <w:pStyle w:val="Compact"/>
              <w:jc w:val="left"/>
            </w:pPr>
            <w:r>
              <w:t xml:space="preserve">Student and rater think-aloud interviews</w:t>
            </w:r>
          </w:p>
        </w:tc>
        <w:tc>
          <w:tcPr/>
          <w:p>
            <w:pPr>
              <w:pStyle w:val="Compact"/>
              <w:jc w:val="left"/>
            </w:pPr>
            <w:r>
              <w:t xml:space="preserve">Documented resolution of every identified problem</w:t>
            </w:r>
          </w:p>
        </w:tc>
      </w:tr>
      <w:tr>
        <w:tc>
          <w:tcPr/>
          <w:p>
            <w:pPr>
              <w:pStyle w:val="Compact"/>
              <w:jc w:val="left"/>
            </w:pPr>
            <w:r>
              <w:t xml:space="preserve">Internal structure</w:t>
            </w:r>
          </w:p>
        </w:tc>
        <w:tc>
          <w:tcPr/>
          <w:p>
            <w:pPr>
              <w:pStyle w:val="Compact"/>
              <w:jc w:val="left"/>
            </w:pPr>
            <w:r>
              <w:t xml:space="preserve">Generalizability and decision studies; ordinal omega; exploratory CFA; KR-20 for each PNNKT form</w:t>
            </w:r>
          </w:p>
        </w:tc>
        <w:tc>
          <w:tcPr/>
          <w:p>
            <w:pPr>
              <w:pStyle w:val="Compact"/>
              <w:jc w:val="left"/>
            </w:pPr>
            <w:r>
              <w:t xml:space="preserve">Generalizability coefficient (two cases) reported with decision-study projections; omega ≥ 0.70; KR-20 ≥ 0.70</w:t>
            </w:r>
          </w:p>
        </w:tc>
      </w:tr>
      <w:tr>
        <w:tc>
          <w:tcPr/>
          <w:p>
            <w:pPr>
              <w:pStyle w:val="Compact"/>
              <w:jc w:val="left"/>
            </w:pPr>
            <w:r>
              <w:t xml:space="preserve">Inter-rater reliability</w:t>
            </w:r>
          </w:p>
        </w:tc>
        <w:tc>
          <w:tcPr/>
          <w:p>
            <w:pPr>
              <w:pStyle w:val="Compact"/>
              <w:jc w:val="left"/>
            </w:pPr>
            <w:r>
              <w:t xml:space="preserve">ICC(A,1) on totals; quadratic-weighted kappa on items</w:t>
            </w:r>
          </w:p>
        </w:tc>
        <w:tc>
          <w:tcPr/>
          <w:p>
            <w:pPr>
              <w:pStyle w:val="Compact"/>
              <w:jc w:val="left"/>
            </w:pPr>
            <w:r>
              <w:t xml:space="preserve">ICC ≥ 0.75 (good; Koo and Li, 2016)</w:t>
            </w:r>
          </w:p>
        </w:tc>
      </w:tr>
      <w:tr>
        <w:tc>
          <w:tcPr/>
          <w:p>
            <w:pPr>
              <w:pStyle w:val="Compact"/>
              <w:jc w:val="left"/>
            </w:pPr>
            <w:r>
              <w:t xml:space="preserve">Rater drift</w:t>
            </w:r>
          </w:p>
        </w:tc>
        <w:tc>
          <w:tcPr/>
          <w:p>
            <w:pPr>
              <w:pStyle w:val="Compact"/>
              <w:jc w:val="left"/>
            </w:pPr>
            <w:r>
              <w:t xml:space="preserve">Embedded benchmark recordings</w:t>
            </w:r>
          </w:p>
        </w:tc>
        <w:tc>
          <w:tcPr/>
          <w:p>
            <w:pPr>
              <w:pStyle w:val="Compact"/>
              <w:jc w:val="left"/>
            </w:pPr>
            <w:r>
              <w:t xml:space="preserve">Deviation ≤ 2 points from benchmark consensus</w:t>
            </w:r>
          </w:p>
        </w:tc>
      </w:tr>
      <w:tr>
        <w:tc>
          <w:tcPr/>
          <w:p>
            <w:pPr>
              <w:pStyle w:val="Compact"/>
              <w:jc w:val="left"/>
            </w:pPr>
            <w:r>
              <w:t xml:space="preserve">Relations to other variables</w:t>
            </w:r>
          </w:p>
        </w:tc>
        <w:tc>
          <w:tcPr/>
          <w:p>
            <w:pPr>
              <w:pStyle w:val="Compact"/>
              <w:jc w:val="left"/>
            </w:pPr>
            <w:r>
              <w:t xml:space="preserve">LCJR; PNNKT; PNPSC; known groups</w:t>
            </w:r>
          </w:p>
        </w:tc>
        <w:tc>
          <w:tcPr/>
          <w:p>
            <w:pPr>
              <w:pStyle w:val="Compact"/>
              <w:jc w:val="left"/>
            </w:pPr>
            <w:r>
              <w:t xml:space="preserve">r ≥ 0.50 with LCJR; r 0.30–0.60 with PNNKT; correlation with PNPSC lower than with LCJR; nurses &gt; students (d ≥ 0.80)</w:t>
            </w:r>
          </w:p>
        </w:tc>
      </w:tr>
      <w:tr>
        <w:tc>
          <w:tcPr/>
          <w:p>
            <w:pPr>
              <w:pStyle w:val="Compact"/>
              <w:jc w:val="left"/>
            </w:pPr>
            <w:r>
              <w:t xml:space="preserve">Consequences</w:t>
            </w:r>
          </w:p>
        </w:tc>
        <w:tc>
          <w:tcPr/>
          <w:p>
            <w:pPr>
              <w:pStyle w:val="Compact"/>
              <w:jc w:val="left"/>
            </w:pPr>
            <w:r>
              <w:t xml:space="preserve">Formative use only</w:t>
            </w:r>
          </w:p>
        </w:tc>
        <w:tc>
          <w:tcPr/>
          <w:p>
            <w:pPr>
              <w:pStyle w:val="Compact"/>
              <w:jc w:val="left"/>
            </w:pPr>
            <w:r>
              <w:t xml:space="preserve">No grade consequences</w:t>
            </w:r>
          </w:p>
        </w:tc>
      </w:tr>
    </w:tbl>
    <w:bookmarkEnd w:id="38"/>
    <w:bookmarkStart w:id="39" w:name="X9237b155eaedf4163c43559b2f1b5028b97063d"/>
    <w:p>
      <w:pPr>
        <w:pStyle w:val="Heading2"/>
      </w:pPr>
      <w:r>
        <w:t xml:space="preserve">2.16. Rater Training, Scoring, Reliability, and Drift</w:t>
      </w:r>
    </w:p>
    <w:p>
      <w:pPr>
        <w:pStyle w:val="FirstParagraph"/>
      </w:pPr>
      <w:r>
        <w:rPr>
          <w:bCs/>
          <w:b/>
        </w:rPr>
        <w:t xml:space="preserve">PN-CRER raters.</w:t>
      </w:r>
      <w:r>
        <w:t xml:space="preserve"> </w:t>
      </w:r>
      <w:r>
        <w:t xml:space="preserve">Four raters (R1–R4) scored the PN-CRER. All held a master’s degree in pediatric nursing and had at least 5 years of clinical experience in pediatric neurotrauma care. None had been involved in teaching, assessment, or instrument development.</w:t>
      </w:r>
    </w:p>
    <w:p>
      <w:pPr>
        <w:numPr>
          <w:ilvl w:val="0"/>
          <w:numId w:val="1072"/>
        </w:numPr>
        <w:pStyle w:val="Compact"/>
      </w:pPr>
      <w:r>
        <w:rPr>
          <w:bCs/>
          <w:b/>
        </w:rPr>
        <w:t xml:space="preserve">Training.</w:t>
      </w:r>
      <w:r>
        <w:t xml:space="preserve"> </w:t>
      </w:r>
      <w:r>
        <w:t xml:space="preserve">Raters attended a 16-hour training program on 12–13 April 2026, immediately before rating began. It covered the Clinical Reasoning Cycle, the items and anchors, the case keys, the rule for performed versus stated elements, the critical safety errors, and the language guidance. Training used pilot recordings for which participants had consented to training use. It continued until each rater reached an ICC(A,1) of at least 0.80 against expert consensus scores on 10 calibration recordings.</w:t>
      </w:r>
    </w:p>
    <w:p>
      <w:pPr>
        <w:numPr>
          <w:ilvl w:val="0"/>
          <w:numId w:val="1072"/>
        </w:numPr>
        <w:pStyle w:val="Compact"/>
      </w:pPr>
      <w:r>
        <w:rPr>
          <w:bCs/>
          <w:b/>
        </w:rPr>
        <w:t xml:space="preserve">Allocation.</w:t>
      </w:r>
      <w:r>
        <w:t xml:space="preserve"> </w:t>
      </w:r>
      <w:r>
        <w:t xml:space="preserve">The 1,800 planned case recordings (450 students × 2 occasions × 2 cases) were randomly allocated to R1–R3, about 600 each. Allocation was stratified by arm × occasion × case, so that each rater scored an equal share of every cell and rater could not be confounded with arm or occasion.</w:t>
      </w:r>
    </w:p>
    <w:p>
      <w:pPr>
        <w:numPr>
          <w:ilvl w:val="0"/>
          <w:numId w:val="1072"/>
        </w:numPr>
        <w:pStyle w:val="Compact"/>
      </w:pPr>
      <w:r>
        <w:rPr>
          <w:bCs/>
          <w:b/>
        </w:rPr>
        <w:t xml:space="preserve">Double rating.</w:t>
      </w:r>
      <w:r>
        <w:t xml:space="preserve"> </w:t>
      </w:r>
      <w:r>
        <w:t xml:space="preserve">R4 independently second-rated a random 20% of recordings (about 360). This set included the 120-recording generalizability subset, which all four raters scored.</w:t>
      </w:r>
    </w:p>
    <w:p>
      <w:pPr>
        <w:numPr>
          <w:ilvl w:val="0"/>
          <w:numId w:val="1072"/>
        </w:numPr>
        <w:pStyle w:val="Compact"/>
      </w:pPr>
      <w:r>
        <w:rPr>
          <w:bCs/>
          <w:b/>
        </w:rPr>
        <w:t xml:space="preserve">Rating conditions.</w:t>
      </w:r>
      <w:r>
        <w:t xml:space="preserve"> </w:t>
      </w:r>
      <w:r>
        <w:t xml:space="preserve">Recordings were scored at normal speed, taking about 20 minutes each. Rating was limited to 4 hours per rater per day to avoid fatigue.</w:t>
      </w:r>
    </w:p>
    <w:p>
      <w:pPr>
        <w:pStyle w:val="FirstParagraph"/>
      </w:pPr>
      <w:r>
        <w:rPr>
          <w:bCs/>
          <w:b/>
        </w:rPr>
        <w:t xml:space="preserve">Reliability.</w:t>
      </w:r>
      <w:r>
        <w:t xml:space="preserve"> </w:t>
      </w:r>
      <w:r>
        <w:t xml:space="preserve">Inter-rater reliability for case totals was estimated with the intraclass correlation coefficient (ICC; two-way random effects, absolute agreement, single measures: ICC[A,1]) with 95% confidence intervals. For individual items, which are ordinal, quadratic-weighted kappa was used. The primary analysis uses the primary rater’s score. A sensitivity analysis uses the mean of the two raters wherever a recording was double-rated.</w:t>
      </w:r>
    </w:p>
    <w:p>
      <w:pPr>
        <w:pStyle w:val="BodyText"/>
      </w:pPr>
      <w:r>
        <w:rPr>
          <w:bCs/>
          <w:b/>
        </w:rPr>
        <w:t xml:space="preserve">Drift.</w:t>
      </w:r>
      <w:r>
        <w:t xml:space="preserve"> </w:t>
      </w:r>
      <w:r>
        <w:t xml:space="preserve">Twenty benchmark recordings with expert consensus scores, taken from the pilot, were embedded without the raters’ knowledge, one after every 25 recordings per rater. If a rater’s score differed from the benchmark by more than 2 points on two consecutive benchmarks, a recalibration session was held and logged. A sensitivity analysis adds rating week to the model (Section 2.18.8).</w:t>
      </w:r>
    </w:p>
    <w:p>
      <w:pPr>
        <w:pStyle w:val="BodyText"/>
      </w:pPr>
      <w:r>
        <w:rPr>
          <w:bCs/>
          <w:b/>
        </w:rPr>
        <w:t xml:space="preserve">Other raters and coders.</w:t>
      </w:r>
    </w:p>
    <w:p>
      <w:pPr>
        <w:numPr>
          <w:ilvl w:val="0"/>
          <w:numId w:val="1073"/>
        </w:numPr>
        <w:pStyle w:val="Compact"/>
      </w:pPr>
      <w:r>
        <w:rPr>
          <w:iCs/>
          <w:i/>
        </w:rPr>
        <w:t xml:space="preserve">PNPSC.</w:t>
      </w:r>
      <w:r>
        <w:t xml:space="preserve"> </w:t>
      </w:r>
      <w:r>
        <w:t xml:space="preserve">Two raters trained for 4 hours. One primary rater scored all of the roughly 900 recordings, and the second rater scored a random 25% (about 225). Agreement was estimated with the ICC for totals and weighted kappa for items.</w:t>
      </w:r>
    </w:p>
    <w:p>
      <w:pPr>
        <w:numPr>
          <w:ilvl w:val="0"/>
          <w:numId w:val="1073"/>
        </w:numPr>
        <w:pStyle w:val="Compact"/>
      </w:pPr>
      <w:r>
        <w:rPr>
          <w:iCs/>
          <w:i/>
        </w:rPr>
        <w:t xml:space="preserve">LCJR.</w:t>
      </w:r>
      <w:r>
        <w:t xml:space="preserve"> </w:t>
      </w:r>
      <w:r>
        <w:t xml:space="preserve">One rater, trained for 6 hours.</w:t>
      </w:r>
    </w:p>
    <w:p>
      <w:pPr>
        <w:numPr>
          <w:ilvl w:val="0"/>
          <w:numId w:val="1073"/>
        </w:numPr>
        <w:pStyle w:val="Compact"/>
      </w:pPr>
      <w:r>
        <w:rPr>
          <w:iCs/>
          <w:i/>
        </w:rPr>
        <w:t xml:space="preserve">Product quality and fidelity.</w:t>
      </w:r>
      <w:r>
        <w:t xml:space="preserve"> </w:t>
      </w:r>
      <w:r>
        <w:t xml:space="preserve">The product-quality raters and fidelity coders are described in Section 2.12.</w:t>
      </w:r>
    </w:p>
    <w:bookmarkEnd w:id="39"/>
    <w:bookmarkStart w:id="40" w:name="sample-size-and-precision"/>
    <w:p>
      <w:pPr>
        <w:pStyle w:val="Heading2"/>
      </w:pPr>
      <w:r>
        <w:t xml:space="preserve">2.17. Sample Size and Precision</w:t>
      </w:r>
    </w:p>
    <w:p>
      <w:pPr>
        <w:pStyle w:val="FirstParagraph"/>
      </w:pPr>
      <w:r>
        <w:rPr>
          <w:bCs/>
          <w:b/>
        </w:rPr>
        <w:t xml:space="preserve">Fixed sample.</w:t>
      </w:r>
      <w:r>
        <w:t xml:space="preserve"> </w:t>
      </w:r>
      <w:r>
        <w:t xml:space="preserve">The number of clusters was fixed by the cohort: 15 sections of 30 students, 5 sections per arm. The sample size calculation therefore establishes the precision the fixed design can achieve, rather than determining how many students to recruit.</w:t>
      </w:r>
    </w:p>
    <w:p>
      <w:pPr>
        <w:pStyle w:val="BodyText"/>
      </w:pPr>
      <w:r>
        <w:rPr>
          <w:bCs/>
          <w:b/>
        </w:rPr>
        <w:t xml:space="preserve">Target difference.</w:t>
      </w:r>
      <w:r>
        <w:t xml:space="preserve"> </w:t>
      </w:r>
      <w:r>
        <w:t xml:space="preserve">The target difference for H1 was the minimal important difference set by the expert panel: 2.5 points on the PN-CRER occasion score (0–24). This corresponds to about two to three rubric items each moving up one anchor level. With an assumed SD of 5.0 points, it equals 0.50 SD. This SD is a conservative value for a two-case mean score; the SD observed in the pilot is reported in Supplementary S8.</w:t>
      </w:r>
    </w:p>
    <w:p>
      <w:pPr>
        <w:pStyle w:val="BodyText"/>
      </w:pPr>
      <w:r>
        <w:rPr>
          <w:bCs/>
          <w:b/>
        </w:rPr>
        <w:t xml:space="preserve">Planning assumptions.</w:t>
      </w:r>
    </w:p>
    <w:p>
      <w:pPr>
        <w:numPr>
          <w:ilvl w:val="0"/>
          <w:numId w:val="1074"/>
        </w:numPr>
        <w:pStyle w:val="Compact"/>
      </w:pPr>
      <w:r>
        <w:t xml:space="preserve">10% missing outcome data, giving 27 analyzable students per section (135 per arm);</w:t>
      </w:r>
    </w:p>
    <w:p>
      <w:pPr>
        <w:numPr>
          <w:ilvl w:val="0"/>
          <w:numId w:val="1074"/>
        </w:numPr>
        <w:pStyle w:val="Compact"/>
      </w:pPr>
      <w:r>
        <w:t xml:space="preserve">a baseline-adjusted intracluster correlation (ICC) of 0.03 between sections. Adjusting for a pretest substantially reduces between-cluster variance (Hedges and Hedberg, 2007). In addition, sections are administrative timetable units, not ability streams, within one cohort and curriculum, and facilitators were crossed with arms;</w:t>
      </w:r>
    </w:p>
    <w:p>
      <w:pPr>
        <w:numPr>
          <w:ilvl w:val="0"/>
          <w:numId w:val="1074"/>
        </w:numPr>
        <w:pStyle w:val="Compact"/>
      </w:pPr>
      <w:r>
        <w:t xml:space="preserve">an ICC of 0.05 between small groups within sections, with a mean group size of 4.5;</w:t>
      </w:r>
    </w:p>
    <w:p>
      <w:pPr>
        <w:numPr>
          <w:ilvl w:val="0"/>
          <w:numId w:val="1074"/>
        </w:numPr>
        <w:pStyle w:val="Compact"/>
      </w:pPr>
      <w:r>
        <w:t xml:space="preserve">a baseline–post correlation of 0.50 at both the individual and cluster levels (Teerenstra et al., 2012); and</w:t>
      </w:r>
    </w:p>
    <w:p>
      <w:pPr>
        <w:numPr>
          <w:ilvl w:val="0"/>
          <w:numId w:val="1074"/>
        </w:numPr>
        <w:pStyle w:val="Compact"/>
      </w:pPr>
      <w:r>
        <w:t xml:space="preserve">two-sided α = 0.05, using the noncentral t distribution with 8 degrees of freedom (15 clusters minus 3 arm parameters minus 4 facilitator parameters).</w:t>
      </w:r>
    </w:p>
    <w:p>
      <w:pPr>
        <w:pStyle w:val="FirstParagraph"/>
      </w:pPr>
      <w:r>
        <w:rPr>
          <w:bCs/>
          <w:b/>
        </w:rPr>
        <w:t xml:space="preserve">Result.</w:t>
      </w:r>
      <w:r>
        <w:t xml:space="preserve"> </w:t>
      </w:r>
      <w:r>
        <w:t xml:space="preserve">Under these assumptions, the study has 84% power to detect 0.50 SD. The minimal detectable effect at 80% power is 0.47 SD (2.4 points). Because the ICC was uncertain, results were also calculated for other plausible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 ICC</w:t>
            </w:r>
          </w:p>
        </w:tc>
        <w:tc>
          <w:tcPr/>
          <w:p>
            <w:pPr>
              <w:pStyle w:val="Compact"/>
              <w:jc w:val="left"/>
            </w:pPr>
            <w:r>
              <w:t xml:space="preserve">Power for 0.50 SD</w:t>
            </w:r>
          </w:p>
        </w:tc>
        <w:tc>
          <w:tcPr/>
          <w:p>
            <w:pPr>
              <w:pStyle w:val="Compact"/>
              <w:jc w:val="left"/>
            </w:pPr>
            <w:r>
              <w:t xml:space="preserve">Minimal detectable effect (80% power)</w:t>
            </w:r>
          </w:p>
        </w:tc>
      </w:tr>
      <w:tr>
        <w:tc>
          <w:tcPr/>
          <w:p>
            <w:pPr>
              <w:pStyle w:val="Compact"/>
              <w:jc w:val="left"/>
            </w:pPr>
            <w:r>
              <w:t xml:space="preserve">0.02</w:t>
            </w:r>
          </w:p>
        </w:tc>
        <w:tc>
          <w:tcPr/>
          <w:p>
            <w:pPr>
              <w:pStyle w:val="Compact"/>
              <w:jc w:val="left"/>
            </w:pPr>
            <w:r>
              <w:t xml:space="preserve">89%</w:t>
            </w:r>
          </w:p>
        </w:tc>
        <w:tc>
          <w:tcPr/>
          <w:p>
            <w:pPr>
              <w:pStyle w:val="Compact"/>
              <w:jc w:val="left"/>
            </w:pPr>
            <w:r>
              <w:t xml:space="preserve">0.44 SD (2.2 points)</w:t>
            </w:r>
          </w:p>
        </w:tc>
      </w:tr>
      <w:tr>
        <w:tc>
          <w:tcPr/>
          <w:p>
            <w:pPr>
              <w:pStyle w:val="Compact"/>
              <w:jc w:val="left"/>
            </w:pPr>
            <w:r>
              <w:t xml:space="preserve">0.03 (planning value)</w:t>
            </w:r>
          </w:p>
        </w:tc>
        <w:tc>
          <w:tcPr/>
          <w:p>
            <w:pPr>
              <w:pStyle w:val="Compact"/>
              <w:jc w:val="left"/>
            </w:pPr>
            <w:r>
              <w:t xml:space="preserve">84%</w:t>
            </w:r>
          </w:p>
        </w:tc>
        <w:tc>
          <w:tcPr/>
          <w:p>
            <w:pPr>
              <w:pStyle w:val="Compact"/>
              <w:jc w:val="left"/>
            </w:pPr>
            <w:r>
              <w:t xml:space="preserve">0.47 SD (2.4 points)</w:t>
            </w:r>
          </w:p>
        </w:tc>
      </w:tr>
      <w:tr>
        <w:tc>
          <w:tcPr/>
          <w:p>
            <w:pPr>
              <w:pStyle w:val="Compact"/>
              <w:jc w:val="left"/>
            </w:pPr>
            <w:r>
              <w:t xml:space="preserve">0.05</w:t>
            </w:r>
          </w:p>
        </w:tc>
        <w:tc>
          <w:tcPr/>
          <w:p>
            <w:pPr>
              <w:pStyle w:val="Compact"/>
              <w:jc w:val="left"/>
            </w:pPr>
            <w:r>
              <w:t xml:space="preserve">75%</w:t>
            </w:r>
          </w:p>
        </w:tc>
        <w:tc>
          <w:tcPr/>
          <w:p>
            <w:pPr>
              <w:pStyle w:val="Compact"/>
              <w:jc w:val="left"/>
            </w:pPr>
            <w:r>
              <w:t xml:space="preserve">0.53 SD (2.7 points)</w:t>
            </w:r>
          </w:p>
        </w:tc>
      </w:tr>
      <w:tr>
        <w:tc>
          <w:tcPr/>
          <w:p>
            <w:pPr>
              <w:pStyle w:val="Compact"/>
              <w:jc w:val="left"/>
            </w:pPr>
            <w:r>
              <w:t xml:space="preserve">0.10</w:t>
            </w:r>
          </w:p>
        </w:tc>
        <w:tc>
          <w:tcPr/>
          <w:p>
            <w:pPr>
              <w:pStyle w:val="Compact"/>
              <w:jc w:val="left"/>
            </w:pPr>
            <w:r>
              <w:t xml:space="preserve">58%</w:t>
            </w:r>
          </w:p>
        </w:tc>
        <w:tc>
          <w:tcPr/>
          <w:p>
            <w:pPr>
              <w:pStyle w:val="Compact"/>
              <w:jc w:val="left"/>
            </w:pPr>
            <w:r>
              <w:t xml:space="preserve">0.65 SD (3.3 points)</w:t>
            </w:r>
          </w:p>
        </w:tc>
      </w:tr>
    </w:tbl>
    <w:p>
      <w:pPr>
        <w:pStyle w:val="BodyText"/>
      </w:pPr>
      <w:r>
        <w:t xml:space="preserve">The ICCs observed in the study are reported with 95% confidence intervals to inform future studies.</w:t>
      </w:r>
    </w:p>
    <w:p>
      <w:pPr>
        <w:pStyle w:val="BodyText"/>
      </w:pPr>
      <w:r>
        <w:t xml:space="preserve">These figures describe precision only. In a nonrandomized design, an adequately powered estimate can still be biased by unmeasured confounding. Sensitivity analyses S7–S9 (Section 2.18.8) address this risk; power does not.</w:t>
      </w:r>
    </w:p>
    <w:p>
      <w:pPr>
        <w:pStyle w:val="BodyText"/>
      </w:pPr>
      <w:r>
        <w:rPr>
          <w:bCs/>
          <w:b/>
        </w:rPr>
        <w:t xml:space="preserve">Supporting comparisons.</w:t>
      </w:r>
      <w:r>
        <w:t xml:space="preserve"> </w:t>
      </w:r>
      <w:r>
        <w:t xml:space="preserve">The H2 comparisons use the same design but are adjusted for multiplicity, so their power is lower. They are interpreted mainly through their confidence intervals.</w:t>
      </w:r>
    </w:p>
    <w:p>
      <w:pPr>
        <w:pStyle w:val="BodyText"/>
      </w:pPr>
      <w:r>
        <w:t xml:space="preserve">The calculation script is provided in Supplementary S9.</w:t>
      </w:r>
    </w:p>
    <w:bookmarkEnd w:id="40"/>
    <w:bookmarkStart w:id="52" w:name="statistical-analysis"/>
    <w:p>
      <w:pPr>
        <w:pStyle w:val="Heading2"/>
      </w:pPr>
      <w:r>
        <w:t xml:space="preserve">2.18. Statistical Analysis</w:t>
      </w:r>
    </w:p>
    <w:bookmarkStart w:id="41" w:name="general-principles"/>
    <w:p>
      <w:pPr>
        <w:pStyle w:val="Heading3"/>
      </w:pPr>
      <w:r>
        <w:t xml:space="preserve">2.18.1. General Principles</w:t>
      </w:r>
    </w:p>
    <w:p>
      <w:pPr>
        <w:pStyle w:val="FirstParagraph"/>
      </w:pPr>
      <w:r>
        <w:t xml:space="preserve">The analysis followed the registered SAP. Analyses were conducted in R version 4.3.1 using the following packages: lme4, lmerTest and pbkrtest for mixed models with Kenward–Roger degrees of freedom; emmeans for contrasts; jomo and mitml for multilevel multiple imputation; lavaan for confirmatory factor analysis; WeightIt and cobalt for propensity-score weighting and balance diagnostics; EValue for E-values; gtheory for generalizability analysis; and irr for agreement statistics. Package versions are listed in Supplementary S9.</w:t>
      </w:r>
    </w:p>
    <w:p>
      <w:pPr>
        <w:pStyle w:val="BodyText"/>
      </w:pPr>
      <w:r>
        <w:t xml:space="preserve">All tests are two-sided at α = 0.05. Estimates are reported with 95% confidence intervals. There were no interim analyses. Analyses were run with masked arm codes (Section 2.6).</w:t>
      </w:r>
    </w:p>
    <w:bookmarkEnd w:id="41"/>
    <w:bookmarkStart w:id="42" w:name="Xbcb8c54a0875378b41fc2e9abe36e6f996704cb"/>
    <w:p>
      <w:pPr>
        <w:pStyle w:val="Heading3"/>
      </w:pPr>
      <w:r>
        <w:t xml:space="preserve">2.18.2. Participant Flow and Baseline Description</w:t>
      </w:r>
    </w:p>
    <w:p>
      <w:pPr>
        <w:pStyle w:val="FirstParagraph"/>
      </w:pPr>
      <w:r>
        <w:t xml:space="preserve">Sections and students are reported at each stage in a TREND flow diagram. Baseline characteristics and baseline outcome scores are summarized by arm at both the individual and section levels. Balance is described with standardized mean differences (SMD) rather than significance tests (Austin, 2009). An absolute SMD above 0.10 is reported as an imbalance. Covariate adjustment was prespecified (Section 2.18.4) and was not changed in response to observed imbalance.</w:t>
      </w:r>
    </w:p>
    <w:bookmarkEnd w:id="42"/>
    <w:bookmarkStart w:id="43" w:name="primary-estimand"/>
    <w:p>
      <w:pPr>
        <w:pStyle w:val="Heading3"/>
      </w:pPr>
      <w:r>
        <w:t xml:space="preserve">2.18.3. Primary Estimand</w:t>
      </w:r>
    </w:p>
    <w:p>
      <w:pPr>
        <w:pStyle w:val="FirstParagraph"/>
      </w:pPr>
      <w:r>
        <w:t xml:space="preserve">The primary estimand was defined following the ICH E9(R1) framework: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Definition</w:t>
            </w:r>
          </w:p>
        </w:tc>
      </w:tr>
      <w:tr>
        <w:tc>
          <w:tcPr/>
          <w:p>
            <w:pPr>
              <w:pStyle w:val="Compact"/>
              <w:jc w:val="left"/>
            </w:pPr>
            <w:r>
              <w:t xml:space="preserve">Population</w:t>
            </w:r>
          </w:p>
        </w:tc>
        <w:tc>
          <w:tcPr/>
          <w:p>
            <w:pPr>
              <w:pStyle w:val="Compact"/>
              <w:jc w:val="left"/>
            </w:pPr>
            <w:r>
              <w:t xml:space="preserve">Consenting students in allocated sections</w:t>
            </w:r>
          </w:p>
        </w:tc>
      </w:tr>
      <w:tr>
        <w:tc>
          <w:tcPr/>
          <w:p>
            <w:pPr>
              <w:pStyle w:val="Compact"/>
              <w:jc w:val="left"/>
            </w:pPr>
            <w:r>
              <w:t xml:space="preserve">Treatment condition</w:t>
            </w:r>
          </w:p>
        </w:tc>
        <w:tc>
          <w:tcPr/>
          <w:p>
            <w:pPr>
              <w:pStyle w:val="Compact"/>
              <w:jc w:val="left"/>
            </w:pPr>
            <w:r>
              <w:t xml:space="preserve">The allocated instructional strategy</w:t>
            </w:r>
          </w:p>
        </w:tc>
      </w:tr>
      <w:tr>
        <w:tc>
          <w:tcPr/>
          <w:p>
            <w:pPr>
              <w:pStyle w:val="Compact"/>
              <w:jc w:val="left"/>
            </w:pPr>
            <w:r>
              <w:t xml:space="preserve">Variable</w:t>
            </w:r>
          </w:p>
        </w:tc>
        <w:tc>
          <w:tcPr/>
          <w:p>
            <w:pPr>
              <w:pStyle w:val="Compact"/>
              <w:jc w:val="left"/>
            </w:pPr>
            <w:r>
              <w:t xml:space="preserve">Post-instruction PN-CRER occasion score</w:t>
            </w:r>
          </w:p>
        </w:tc>
      </w:tr>
      <w:tr>
        <w:tc>
          <w:tcPr/>
          <w:p>
            <w:pPr>
              <w:pStyle w:val="Compact"/>
              <w:jc w:val="left"/>
            </w:pPr>
            <w:r>
              <w:t xml:space="preserve">Intercurrent events</w:t>
            </w:r>
          </w:p>
        </w:tc>
        <w:tc>
          <w:tcPr/>
          <w:p>
            <w:pPr>
              <w:pStyle w:val="Compact"/>
              <w:jc w:val="left"/>
            </w:pPr>
            <w:r>
              <w:t xml:space="preserve">Non-attendance, use of another arm’s materials, and use of generative AI, all handled under a treatment-policy strategy</w:t>
            </w:r>
          </w:p>
        </w:tc>
      </w:tr>
      <w:tr>
        <w:tc>
          <w:tcPr/>
          <w:p>
            <w:pPr>
              <w:pStyle w:val="Compact"/>
              <w:jc w:val="left"/>
            </w:pPr>
            <w:r>
              <w:t xml:space="preserve">Population-level summary</w:t>
            </w:r>
          </w:p>
        </w:tc>
        <w:tc>
          <w:tcPr/>
          <w:p>
            <w:pPr>
              <w:pStyle w:val="Compact"/>
              <w:jc w:val="left"/>
            </w:pPr>
            <w:r>
              <w:t xml:space="preserve">Adjusted mean difference between the AI-assisted map and student-map arms</w:t>
            </w:r>
          </w:p>
        </w:tc>
      </w:tr>
    </w:tbl>
    <w:p>
      <w:pPr>
        <w:pStyle w:val="BodyText"/>
      </w:pPr>
      <w:r>
        <w:rPr>
          <w:bCs/>
          <w:b/>
        </w:rPr>
        <w:t xml:space="preserve">Identification assumptions.</w:t>
      </w:r>
      <w:r>
        <w:t xml:space="preserve"> </w:t>
      </w:r>
      <w:r>
        <w:t xml:space="preserve">Because allocation was nonrandom, the adjusted difference has a causal interpretation only under three assumptions:</w:t>
      </w:r>
    </w:p>
    <w:p>
      <w:pPr>
        <w:numPr>
          <w:ilvl w:val="0"/>
          <w:numId w:val="1075"/>
        </w:numPr>
        <w:pStyle w:val="Compact"/>
      </w:pPr>
      <w:r>
        <w:rPr>
          <w:iCs/>
          <w:i/>
        </w:rPr>
        <w:t xml:space="preserve">Conditional exchangeability.</w:t>
      </w:r>
      <w:r>
        <w:t xml:space="preserve"> </w:t>
      </w:r>
      <w:r>
        <w:t xml:space="preserve">Given the measured confounders, the arms are comparable.</w:t>
      </w:r>
    </w:p>
    <w:p>
      <w:pPr>
        <w:numPr>
          <w:ilvl w:val="0"/>
          <w:numId w:val="1075"/>
        </w:numPr>
        <w:pStyle w:val="Compact"/>
      </w:pPr>
      <w:r>
        <w:rPr>
          <w:iCs/>
          <w:i/>
        </w:rPr>
        <w:t xml:space="preserve">Positivity.</w:t>
      </w:r>
      <w:r>
        <w:t xml:space="preserve"> </w:t>
      </w:r>
      <w:r>
        <w:t xml:space="preserve">Every combination of confounder values is represented in every arm.</w:t>
      </w:r>
    </w:p>
    <w:p>
      <w:pPr>
        <w:numPr>
          <w:ilvl w:val="0"/>
          <w:numId w:val="1075"/>
        </w:numPr>
        <w:pStyle w:val="Compact"/>
      </w:pPr>
      <w:r>
        <w:rPr>
          <w:iCs/>
          <w:i/>
        </w:rPr>
        <w:t xml:space="preserve">Consistency.</w:t>
      </w:r>
      <w:r>
        <w:t xml:space="preserve"> </w:t>
      </w:r>
      <w:r>
        <w:t xml:space="preserve">Each arm delivered one well-defined strategy, supported by fidelity monitoring.</w:t>
      </w:r>
    </w:p>
    <w:p>
      <w:pPr>
        <w:pStyle w:val="FirstParagraph"/>
      </w:pPr>
      <w:r>
        <w:t xml:space="preserve">Positivity was checked by examining the overlap of propensity-score distributions. Departures from exchangeability were examined with the analyses in Section 2.18.8.</w:t>
      </w:r>
    </w:p>
    <w:bookmarkEnd w:id="43"/>
    <w:bookmarkStart w:id="44" w:name="primary-model"/>
    <w:p>
      <w:pPr>
        <w:pStyle w:val="Heading3"/>
      </w:pPr>
      <w:r>
        <w:t xml:space="preserve">2.18.4. Primary Model</w:t>
      </w:r>
    </w:p>
    <w:p>
      <w:pPr>
        <w:pStyle w:val="FirstParagraph"/>
      </w:pPr>
      <w:r>
        <w:t xml:space="preserve">The primary model was a linear mixed-effects model of post-instruction PN-CRER scores, analyzed at the case level (two cases per student).</w:t>
      </w:r>
    </w:p>
    <w:p>
      <w:pPr>
        <w:pStyle w:val="BodyText"/>
      </w:pPr>
      <w:r>
        <w:rPr>
          <w:bCs/>
          <w:b/>
        </w:rPr>
        <w:t xml:space="preserve">Fixed effects:</w:t>
      </w:r>
    </w:p>
    <w:p>
      <w:pPr>
        <w:numPr>
          <w:ilvl w:val="0"/>
          <w:numId w:val="1076"/>
        </w:numPr>
        <w:pStyle w:val="Compact"/>
      </w:pPr>
      <w:r>
        <w:t xml:space="preserve">arm;</w:t>
      </w:r>
    </w:p>
    <w:p>
      <w:pPr>
        <w:numPr>
          <w:ilvl w:val="0"/>
          <w:numId w:val="1076"/>
        </w:numPr>
        <w:pStyle w:val="Compact"/>
      </w:pPr>
      <w:r>
        <w:t xml:space="preserve">facilitator (a design factor crossed with arm);</w:t>
      </w:r>
    </w:p>
    <w:p>
      <w:pPr>
        <w:numPr>
          <w:ilvl w:val="0"/>
          <w:numId w:val="1076"/>
        </w:numPr>
        <w:pStyle w:val="Compact"/>
      </w:pPr>
      <w:r>
        <w:t xml:space="preserve">the prespecified individual-level confounders, selected from a causal diagram drawn before data collection (Supplementary S11) as common causes of section allocation and post-instruction reasoning performance:</w:t>
      </w:r>
    </w:p>
    <w:p>
      <w:pPr>
        <w:numPr>
          <w:ilvl w:val="1"/>
          <w:numId w:val="1077"/>
        </w:numPr>
        <w:pStyle w:val="Compact"/>
      </w:pPr>
      <w:r>
        <w:t xml:space="preserve">baseline PN-CRER score (each student’s mean of the available baseline cases, grand-mean centered);</w:t>
      </w:r>
    </w:p>
    <w:p>
      <w:pPr>
        <w:numPr>
          <w:ilvl w:val="1"/>
          <w:numId w:val="1077"/>
        </w:numPr>
        <w:pStyle w:val="Compact"/>
      </w:pPr>
      <w:r>
        <w:t xml:space="preserve">GPA;</w:t>
      </w:r>
    </w:p>
    <w:p>
      <w:pPr>
        <w:numPr>
          <w:ilvl w:val="1"/>
          <w:numId w:val="1077"/>
        </w:numPr>
        <w:pStyle w:val="Compact"/>
      </w:pPr>
      <w:r>
        <w:t xml:space="preserve">baseline PNNKT score;</w:t>
      </w:r>
    </w:p>
    <w:p>
      <w:pPr>
        <w:numPr>
          <w:ilvl w:val="1"/>
          <w:numId w:val="1077"/>
        </w:numPr>
        <w:pStyle w:val="Compact"/>
      </w:pPr>
      <w:r>
        <w:t xml:space="preserve">English course grade;</w:t>
      </w:r>
    </w:p>
    <w:p>
      <w:pPr>
        <w:numPr>
          <w:ilvl w:val="1"/>
          <w:numId w:val="1077"/>
        </w:numPr>
        <w:pStyle w:val="Compact"/>
      </w:pPr>
      <w:r>
        <w:t xml:space="preserve">number of previous simulation sessions;</w:t>
      </w:r>
    </w:p>
    <w:p>
      <w:pPr>
        <w:numPr>
          <w:ilvl w:val="1"/>
          <w:numId w:val="1077"/>
        </w:numPr>
        <w:pStyle w:val="Compact"/>
      </w:pPr>
      <w:r>
        <w:t xml:space="preserve">previous mind-map use; and</w:t>
      </w:r>
    </w:p>
    <w:p>
      <w:pPr>
        <w:numPr>
          <w:ilvl w:val="1"/>
          <w:numId w:val="1077"/>
        </w:numPr>
        <w:pStyle w:val="Compact"/>
      </w:pPr>
      <w:r>
        <w:t xml:space="preserve">frequency of previous generative AI use;</w:t>
      </w:r>
    </w:p>
    <w:p>
      <w:pPr>
        <w:numPr>
          <w:ilvl w:val="0"/>
          <w:numId w:val="1076"/>
        </w:numPr>
        <w:pStyle w:val="Compact"/>
      </w:pPr>
      <w:r>
        <w:t xml:space="preserve">case age group and case order; and</w:t>
      </w:r>
    </w:p>
    <w:p>
      <w:pPr>
        <w:numPr>
          <w:ilvl w:val="0"/>
          <w:numId w:val="1076"/>
        </w:numPr>
        <w:pStyle w:val="Compact"/>
      </w:pPr>
      <w:r>
        <w:t xml:space="preserve">rater.</w:t>
      </w:r>
    </w:p>
    <w:p>
      <w:pPr>
        <w:pStyle w:val="FirstParagraph"/>
      </w:pPr>
      <w:r>
        <w:t xml:space="preserve">Section-level timetable features (teaching position and time slot) were balanced by the allocation rule. They were added in sensitivity analysis S3 rather than in the primary model, to preserve the few degrees of freedom available at the section level.</w:t>
      </w:r>
    </w:p>
    <w:p>
      <w:pPr>
        <w:pStyle w:val="BodyText"/>
      </w:pPr>
      <w:r>
        <w:rPr>
          <w:bCs/>
          <w:b/>
        </w:rPr>
        <w:t xml:space="preserve">Random intercepts:</w:t>
      </w:r>
    </w:p>
    <w:p>
      <w:pPr>
        <w:numPr>
          <w:ilvl w:val="0"/>
          <w:numId w:val="1078"/>
        </w:numPr>
        <w:pStyle w:val="Compact"/>
      </w:pPr>
      <w:r>
        <w:t xml:space="preserve">section;</w:t>
      </w:r>
    </w:p>
    <w:p>
      <w:pPr>
        <w:numPr>
          <w:ilvl w:val="0"/>
          <w:numId w:val="1078"/>
        </w:numPr>
        <w:pStyle w:val="Compact"/>
      </w:pPr>
      <w:r>
        <w:t xml:space="preserve">small group nested within section;</w:t>
      </w:r>
    </w:p>
    <w:p>
      <w:pPr>
        <w:numPr>
          <w:ilvl w:val="0"/>
          <w:numId w:val="1078"/>
        </w:numPr>
        <w:pStyle w:val="Compact"/>
      </w:pPr>
      <w:r>
        <w:t xml:space="preserve">student; and</w:t>
      </w:r>
    </w:p>
    <w:p>
      <w:pPr>
        <w:numPr>
          <w:ilvl w:val="0"/>
          <w:numId w:val="1078"/>
        </w:numPr>
        <w:pStyle w:val="Compact"/>
      </w:pPr>
      <w:r>
        <w:t xml:space="preserve">case (crossed with the other random effects).</w:t>
      </w:r>
    </w:p>
    <w:p>
      <w:pPr>
        <w:pStyle w:val="FirstParagraph"/>
      </w:pPr>
      <w:r>
        <w:rPr>
          <w:bCs/>
          <w:b/>
        </w:rPr>
        <w:t xml:space="preserve">Inference.</w:t>
      </w:r>
      <w:r>
        <w:t xml:space="preserve"> </w:t>
      </w:r>
      <w:r>
        <w:t xml:space="preserve">Degrees of freedom were estimated with the Kenward–Roger method, which suits designs with few clusters (Kenward and Roger, 1997; Leyrat et al., 2018). The primary contrast (H1: AI-assisted map vs student-map) was tested without multiplicity adjustment, because it is the single primary comparison. The two supporting contrasts (H2: each mapping arm vs the worksheet arm) were adjusted with a multivariate-t (Dunnett-type) correction. Students with only one valid post-instruction case contribute through the likelihood.</w:t>
      </w:r>
    </w:p>
    <w:bookmarkEnd w:id="44"/>
    <w:bookmarkStart w:id="45" w:name="secondary-outcomes"/>
    <w:p>
      <w:pPr>
        <w:pStyle w:val="Heading3"/>
      </w:pPr>
      <w:r>
        <w:t xml:space="preserve">2.18.5. Secondary Outcomes</w:t>
      </w:r>
    </w:p>
    <w:p>
      <w:pPr>
        <w:pStyle w:val="FirstParagraph"/>
      </w:pPr>
      <w:r>
        <w:t xml:space="preserve">The PNNKT and PNPSC scores were analyzed with linear mixed models of the same structure. Each model was adjusted for the baseline score of that outcome, facilitator, and the same prespecified confounders as the primary model, with random intercepts for section and small group. The PNPSC model also included rater.</w:t>
      </w:r>
    </w:p>
    <w:p>
      <w:pPr>
        <w:pStyle w:val="BodyText"/>
      </w:pPr>
      <w:r>
        <w:t xml:space="preserve">Critical safety errors were analyzed with a logistic generalized linear mixed model at the case level. The model included random intercepts for section, small group, student, and case. Results are reported as odds ratios and as marginal risk differences.</w:t>
      </w:r>
    </w:p>
    <w:p>
      <w:pPr>
        <w:pStyle w:val="BodyText"/>
      </w:pPr>
      <w:r>
        <w:t xml:space="preserve">Secondary outcomes are interpreted as estimates without multiplicity adjustment. All contrasts are reported, together with the number of tests performed.</w:t>
      </w:r>
    </w:p>
    <w:bookmarkEnd w:id="45"/>
    <w:bookmarkStart w:id="46" w:name="Xcafb66123f0153d3982f109d6e41cf4a15881e1"/>
    <w:p>
      <w:pPr>
        <w:pStyle w:val="Heading3"/>
      </w:pPr>
      <w:r>
        <w:t xml:space="preserve">2.18.6. Effect Sizes and Intracluster Correlations</w:t>
      </w:r>
    </w:p>
    <w:p>
      <w:pPr>
        <w:pStyle w:val="FirstParagraph"/>
      </w:pPr>
      <w:r>
        <w:t xml:space="preserve">Standardized effect sizes (d_T; Hedges, 2007) were calculated as the adjusted mean difference divided by the total SD. The total SD is the square root of the sum of the section, small-group, student, and residual variance components, taken from an unconditional model of baseline PN-CRER scores. Confidence intervals for effect sizes were obtained by parametric bootstrap of the mixed model with 2,000 resamples. Section-level and small-group-level ICCs are reported with profile-likelihood 95% confidence intervals.</w:t>
      </w:r>
    </w:p>
    <w:bookmarkEnd w:id="46"/>
    <w:bookmarkStart w:id="47" w:name="missing-data"/>
    <w:p>
      <w:pPr>
        <w:pStyle w:val="Heading3"/>
      </w:pPr>
      <w:r>
        <w:t xml:space="preserve">2.18.7. Missing Data</w:t>
      </w:r>
    </w:p>
    <w:p>
      <w:pPr>
        <w:pStyle w:val="FirstParagraph"/>
      </w:pPr>
      <w:r>
        <w:t xml:space="preserve">The extent and pattern of missing data are reported by arm and occasion. The primary analysis assumes data are missing at random and uses all available outcome data through the likelihood. Missing baseline or covariate values were handled by multilevel multiple imputation (jomo, 50 imputations, with section as a random effect). The results were combined using Rubin’s rules.</w:t>
      </w:r>
    </w:p>
    <w:p>
      <w:pPr>
        <w:pStyle w:val="BodyText"/>
      </w:pPr>
      <w:r>
        <w:t xml:space="preserve">Two sensitivity analyses addressed missing data:</w:t>
      </w:r>
    </w:p>
    <w:p>
      <w:pPr>
        <w:numPr>
          <w:ilvl w:val="0"/>
          <w:numId w:val="1079"/>
        </w:numPr>
        <w:pStyle w:val="Compact"/>
      </w:pPr>
      <w:r>
        <w:t xml:space="preserve">multiple imputation of outcomes with auxiliary variables (attendance, LMS engagement, product quality, and baseline outcomes); and</w:t>
      </w:r>
    </w:p>
    <w:p>
      <w:pPr>
        <w:numPr>
          <w:ilvl w:val="0"/>
          <w:numId w:val="1079"/>
        </w:numPr>
        <w:pStyle w:val="Compact"/>
      </w:pPr>
      <w:r>
        <w:t xml:space="preserve">a delta-adjusted tipping-point analysis, shifting imputed post-instruction scores in each arm by 0 to −0.5 SD in steps of 0.1 SD.</w:t>
      </w:r>
    </w:p>
    <w:bookmarkEnd w:id="47"/>
    <w:bookmarkStart w:id="48" w:name="sensitivity-analyses"/>
    <w:p>
      <w:pPr>
        <w:pStyle w:val="Heading3"/>
      </w:pPr>
      <w:r>
        <w:t xml:space="preserve">2.18.8. Sensitivity Analyses</w:t>
      </w:r>
    </w:p>
    <w:p>
      <w:pPr>
        <w:pStyle w:val="FirstParagraph"/>
      </w:pPr>
      <w:r>
        <w:t xml:space="preserve">The following sensitivity analyses were prespecified:</w:t>
      </w:r>
    </w:p>
    <w:p>
      <w:pPr>
        <w:numPr>
          <w:ilvl w:val="0"/>
          <w:numId w:val="1080"/>
        </w:numPr>
        <w:pStyle w:val="Compact"/>
      </w:pPr>
      <w:r>
        <w:rPr>
          <w:bCs/>
          <w:b/>
        </w:rPr>
        <w:t xml:space="preserve">S1. Per-protocol analysis:</w:t>
      </w:r>
      <w:r>
        <w:t xml:space="preserve"> </w:t>
      </w:r>
      <w:r>
        <w:t xml:space="preserve">restricted to students who completed teaching (a hypothetical estimand).</w:t>
      </w:r>
    </w:p>
    <w:p>
      <w:pPr>
        <w:numPr>
          <w:ilvl w:val="0"/>
          <w:numId w:val="1080"/>
        </w:numPr>
        <w:pStyle w:val="Compact"/>
      </w:pPr>
      <w:r>
        <w:rPr>
          <w:bCs/>
          <w:b/>
        </w:rPr>
        <w:t xml:space="preserve">S2. Contamination:</w:t>
      </w:r>
      <w:r>
        <w:t xml:space="preserve"> </w:t>
      </w:r>
      <w:r>
        <w:t xml:space="preserve">excluding students who reported using another arm’s materials, using generative AI for the content, or having prior knowledge of the cases, and sections in which fidelity coding detected cross-arm content.</w:t>
      </w:r>
    </w:p>
    <w:p>
      <w:pPr>
        <w:numPr>
          <w:ilvl w:val="0"/>
          <w:numId w:val="1080"/>
        </w:numPr>
        <w:pStyle w:val="Compact"/>
      </w:pPr>
      <w:r>
        <w:rPr>
          <w:bCs/>
          <w:b/>
        </w:rPr>
        <w:t xml:space="preserve">S3. Additional adjustment:</w:t>
      </w:r>
      <w:r>
        <w:t xml:space="preserve"> </w:t>
      </w:r>
      <w:r>
        <w:t xml:space="preserve">for interval since session 4, assessment round, facilitator teaching position, clinical exposure, language of response, and rating week.</w:t>
      </w:r>
    </w:p>
    <w:p>
      <w:pPr>
        <w:numPr>
          <w:ilvl w:val="0"/>
          <w:numId w:val="1080"/>
        </w:numPr>
        <w:pStyle w:val="Compact"/>
      </w:pPr>
      <w:r>
        <w:rPr>
          <w:bCs/>
          <w:b/>
        </w:rPr>
        <w:t xml:space="preserve">S4. Two-rater scores:</w:t>
      </w:r>
      <w:r>
        <w:t xml:space="preserve"> </w:t>
      </w:r>
      <w:r>
        <w:t xml:space="preserve">using the mean of the two raters for double-rated recordings.</w:t>
      </w:r>
    </w:p>
    <w:p>
      <w:pPr>
        <w:numPr>
          <w:ilvl w:val="0"/>
          <w:numId w:val="1080"/>
        </w:numPr>
        <w:pStyle w:val="Compact"/>
      </w:pPr>
      <w:r>
        <w:rPr>
          <w:bCs/>
          <w:b/>
        </w:rPr>
        <w:t xml:space="preserve">S5. Cluster-level analysis:</w:t>
      </w:r>
      <w:r>
        <w:t xml:space="preserve"> </w:t>
      </w:r>
      <w:r>
        <w:t xml:space="preserve">comparing covariate-adjusted section-level means (Hayes and Moulton, 2017).</w:t>
      </w:r>
    </w:p>
    <w:p>
      <w:pPr>
        <w:numPr>
          <w:ilvl w:val="0"/>
          <w:numId w:val="1080"/>
        </w:numPr>
        <w:pStyle w:val="Compact"/>
      </w:pPr>
      <w:r>
        <w:rPr>
          <w:bCs/>
          <w:b/>
        </w:rPr>
        <w:t xml:space="preserve">S6. Floor and ceiling effects:</w:t>
      </w:r>
      <w:r>
        <w:t xml:space="preserve"> </w:t>
      </w:r>
      <w:r>
        <w:t xml:space="preserve">a censored (tobit) mixed model, if more than 15% of scores were at the floor or ceiling at either occasion.</w:t>
      </w:r>
    </w:p>
    <w:p>
      <w:pPr>
        <w:numPr>
          <w:ilvl w:val="0"/>
          <w:numId w:val="1080"/>
        </w:numPr>
        <w:pStyle w:val="Compact"/>
      </w:pPr>
      <w:r>
        <w:rPr>
          <w:bCs/>
          <w:b/>
        </w:rPr>
        <w:t xml:space="preserve">S7. Propensity-score weighting:</w:t>
      </w:r>
      <w:r>
        <w:t xml:space="preserve"> </w:t>
      </w:r>
      <w:r>
        <w:t xml:space="preserve">a doubly robust analysis. A multinomial propensity score for arm was estimated from the individual-level confounders, with section as a random effect. The primary model was then refitted with overlap weights for multiple treatments (Li and Li, 2019). Overlap weights give greatest weight to students who could plausibly have been in any arm, and they produce exact mean balance on the covariates in the propensity model. Covariate balance after weighting is reported.</w:t>
      </w:r>
    </w:p>
    <w:p>
      <w:pPr>
        <w:numPr>
          <w:ilvl w:val="0"/>
          <w:numId w:val="1080"/>
        </w:numPr>
        <w:pStyle w:val="Compact"/>
      </w:pPr>
      <w:r>
        <w:rPr>
          <w:bCs/>
          <w:b/>
        </w:rPr>
        <w:t xml:space="preserve">S8. Negative-control outcome:</w:t>
      </w:r>
      <w:r>
        <w:t xml:space="preserve"> </w:t>
      </w:r>
      <w:r>
        <w:t xml:space="preserve">the same model was fitted to students’ scores on the non-neurological pediatric content of the course mid-semester examination (taken from faculty records with consent). This content was taught identically to all sections and was not targeted by any strategy. A between-arm difference in this outcome would indicate residual confounding, for example by differences in motivation or ability between sections (Lipsitch et al., 2010).</w:t>
      </w:r>
    </w:p>
    <w:p>
      <w:pPr>
        <w:numPr>
          <w:ilvl w:val="0"/>
          <w:numId w:val="1080"/>
        </w:numPr>
        <w:pStyle w:val="Compact"/>
      </w:pPr>
      <w:r>
        <w:rPr>
          <w:bCs/>
          <w:b/>
        </w:rPr>
        <w:t xml:space="preserve">S9. Unmeasured confounding:</w:t>
      </w:r>
      <w:r>
        <w:t xml:space="preserve"> </w:t>
      </w:r>
      <w:r>
        <w:t xml:space="preserve">E-values were calculated for the primary estimate and for the confidence limit closer to the null (VanderWeele and Ding, 2017). The standardized difference was converted to an approximate risk ratio for this purpose. The E-value is the minimum strength of association that an unmeasured confounder would need with both arm and outcome to fully explain the observed difference.</w:t>
      </w:r>
    </w:p>
    <w:bookmarkEnd w:id="48"/>
    <w:bookmarkStart w:id="49" w:name="moderation-exploratory"/>
    <w:p>
      <w:pPr>
        <w:pStyle w:val="Heading3"/>
      </w:pPr>
      <w:r>
        <w:t xml:space="preserve">2.18.9. Moderation (Exploratory)</w:t>
      </w:r>
    </w:p>
    <w:p>
      <w:pPr>
        <w:pStyle w:val="FirstParagraph"/>
      </w:pPr>
      <w:r>
        <w:t xml:space="preserve">Arm × moderator interactions were tested for:</w:t>
      </w:r>
    </w:p>
    <w:p>
      <w:pPr>
        <w:numPr>
          <w:ilvl w:val="0"/>
          <w:numId w:val="1081"/>
        </w:numPr>
        <w:pStyle w:val="Compact"/>
      </w:pPr>
      <w:r>
        <w:t xml:space="preserve">baseline PN-CRER score, analyzed as a continuous variable (H3);</w:t>
      </w:r>
    </w:p>
    <w:p>
      <w:pPr>
        <w:numPr>
          <w:ilvl w:val="0"/>
          <w:numId w:val="1081"/>
        </w:numPr>
        <w:pStyle w:val="Compact"/>
      </w:pPr>
      <w:r>
        <w:t xml:space="preserve">previous mind-map use; and</w:t>
      </w:r>
    </w:p>
    <w:p>
      <w:pPr>
        <w:numPr>
          <w:ilvl w:val="0"/>
          <w:numId w:val="1081"/>
        </w:numPr>
        <w:pStyle w:val="Compact"/>
      </w:pPr>
      <w:r>
        <w:t xml:space="preserve">English course grade.</w:t>
      </w:r>
    </w:p>
    <w:p>
      <w:pPr>
        <w:pStyle w:val="FirstParagraph"/>
      </w:pPr>
      <w:r>
        <w:t xml:space="preserve">These analyses are reported with confidence intervals and treated as hypothesis-generating.</w:t>
      </w:r>
    </w:p>
    <w:bookmarkEnd w:id="49"/>
    <w:bookmarkStart w:id="50" w:name="X898647fa64030f2409a7f50c6a1118196f3a081"/>
    <w:p>
      <w:pPr>
        <w:pStyle w:val="Heading3"/>
      </w:pPr>
      <w:r>
        <w:t xml:space="preserve">2.18.10. Process, Psychometric, and Masking Analyses</w:t>
      </w:r>
    </w:p>
    <w:p>
      <w:pPr>
        <w:numPr>
          <w:ilvl w:val="0"/>
          <w:numId w:val="1082"/>
        </w:numPr>
        <w:pStyle w:val="Compact"/>
      </w:pPr>
      <w:r>
        <w:rPr>
          <w:bCs/>
          <w:b/>
        </w:rPr>
        <w:t xml:space="preserve">Process measures.</w:t>
      </w:r>
      <w:r>
        <w:t xml:space="preserve"> </w:t>
      </w:r>
      <w:r>
        <w:t xml:space="preserve">Fidelity, dose, product quality, cognitive load, and acceptability are summarized by arm. Product quality and cognitive load were compared between arms using the same mixed-model structure. No formal mediation analysis was performed.</w:t>
      </w:r>
    </w:p>
    <w:p>
      <w:pPr>
        <w:numPr>
          <w:ilvl w:val="0"/>
          <w:numId w:val="1082"/>
        </w:numPr>
        <w:pStyle w:val="Compact"/>
      </w:pPr>
      <w:r>
        <w:rPr>
          <w:bCs/>
          <w:b/>
        </w:rPr>
        <w:t xml:space="preserve">Psychometric analyses.</w:t>
      </w:r>
      <w:r>
        <w:t xml:space="preserve"> </w:t>
      </w:r>
      <w:r>
        <w:t xml:space="preserve">These followed Section 2.15.</w:t>
      </w:r>
    </w:p>
    <w:p>
      <w:pPr>
        <w:numPr>
          <w:ilvl w:val="0"/>
          <w:numId w:val="1082"/>
        </w:numPr>
        <w:pStyle w:val="Compact"/>
      </w:pPr>
      <w:r>
        <w:rPr>
          <w:bCs/>
          <w:b/>
        </w:rPr>
        <w:t xml:space="preserve">Masking.</w:t>
      </w:r>
      <w:r>
        <w:t xml:space="preserve"> </w:t>
      </w:r>
      <w:r>
        <w:t xml:space="preserve">Masking indices were calculated as described in Section 2.6.</w:t>
      </w:r>
    </w:p>
    <w:p>
      <w:pPr>
        <w:numPr>
          <w:ilvl w:val="0"/>
          <w:numId w:val="1082"/>
        </w:numPr>
        <w:pStyle w:val="Compact"/>
      </w:pPr>
      <w:r>
        <w:rPr>
          <w:bCs/>
          <w:b/>
        </w:rPr>
        <w:t xml:space="preserve">Materials substudy.</w:t>
      </w:r>
      <w:r>
        <w:t xml:space="preserve"> </w:t>
      </w:r>
      <w:r>
        <w:t xml:space="preserve">Results are summarized descriptively (medians and ranges).</w:t>
      </w:r>
    </w:p>
    <w:bookmarkEnd w:id="50"/>
    <w:bookmarkStart w:id="51" w:name="model-diagnostics"/>
    <w:p>
      <w:pPr>
        <w:pStyle w:val="Heading3"/>
      </w:pPr>
      <w:r>
        <w:t xml:space="preserve">2.18.11. Model Diagnostics</w:t>
      </w:r>
    </w:p>
    <w:p>
      <w:pPr>
        <w:pStyle w:val="FirstParagraph"/>
      </w:pPr>
      <w:r>
        <w:t xml:space="preserve">Model diagnostics checked the normality of residuals, homoscedasticity across arms, and influence at the section level (Cook’s distance and leave-one-section-out re-estimation).</w:t>
      </w:r>
    </w:p>
    <w:bookmarkEnd w:id="51"/>
    <w:bookmarkEnd w:id="52"/>
    <w:bookmarkStart w:id="53" w:name="data-management"/>
    <w:p>
      <w:pPr>
        <w:pStyle w:val="Heading2"/>
      </w:pPr>
      <w:r>
        <w:t xml:space="preserve">2.19. Data Management</w:t>
      </w:r>
    </w:p>
    <w:p>
      <w:pPr>
        <w:pStyle w:val="FirstParagraph"/>
      </w:pPr>
      <w:r>
        <w:rPr>
          <w:bCs/>
          <w:b/>
        </w:rPr>
        <w:t xml:space="preserve">Data capture.</w:t>
      </w:r>
      <w:r>
        <w:t xml:space="preserve"> </w:t>
      </w:r>
      <w:r>
        <w:t xml:space="preserve">Data were captured in REDCap on a faculty server, with range and logic checks. Sources of data were:</w:t>
      </w:r>
    </w:p>
    <w:p>
      <w:pPr>
        <w:numPr>
          <w:ilvl w:val="0"/>
          <w:numId w:val="1083"/>
        </w:numPr>
        <w:pStyle w:val="Compact"/>
      </w:pPr>
      <w:r>
        <w:t xml:space="preserve">questionnaires and logs, completed electronically in REDCap;</w:t>
      </w:r>
    </w:p>
    <w:p>
      <w:pPr>
        <w:numPr>
          <w:ilvl w:val="0"/>
          <w:numId w:val="1083"/>
        </w:numPr>
        <w:pStyle w:val="Compact"/>
      </w:pPr>
      <w:r>
        <w:t xml:space="preserve">rater scores, entered directly into REDCap forms;</w:t>
      </w:r>
    </w:p>
    <w:p>
      <w:pPr>
        <w:numPr>
          <w:ilvl w:val="0"/>
          <w:numId w:val="1083"/>
        </w:numPr>
        <w:pStyle w:val="Compact"/>
      </w:pPr>
      <w:r>
        <w:t xml:space="preserve">knowledge-test results, exported from the e-assessment system; and</w:t>
      </w:r>
    </w:p>
    <w:p>
      <w:pPr>
        <w:numPr>
          <w:ilvl w:val="0"/>
          <w:numId w:val="1083"/>
        </w:numPr>
        <w:pStyle w:val="Compact"/>
      </w:pPr>
      <w:r>
        <w:t xml:space="preserve">variables from student records (GPA, English course grade), extracted by the data manager.</w:t>
      </w:r>
    </w:p>
    <w:p>
      <w:pPr>
        <w:pStyle w:val="FirstParagraph"/>
      </w:pPr>
      <w:r>
        <w:t xml:space="preserve">A random 10% of records were verified against source documents.</w:t>
      </w:r>
    </w:p>
    <w:p>
      <w:pPr>
        <w:pStyle w:val="BodyText"/>
      </w:pPr>
      <w:r>
        <w:rPr>
          <w:bCs/>
          <w:b/>
        </w:rPr>
        <w:t xml:space="preserve">Recordings.</w:t>
      </w:r>
      <w:r>
        <w:t xml:space="preserve"> </w:t>
      </w:r>
      <w:r>
        <w:t xml:space="preserve">Video recordings were stored on an encrypted server. Access was limited to the data manager and to raters working under confidentiality agreements.</w:t>
      </w:r>
    </w:p>
    <w:p>
      <w:pPr>
        <w:pStyle w:val="BodyText"/>
      </w:pPr>
      <w:r>
        <w:rPr>
          <w:bCs/>
          <w:b/>
        </w:rPr>
        <w:t xml:space="preserve">De-identification.</w:t>
      </w:r>
      <w:r>
        <w:t xml:space="preserve"> </w:t>
      </w:r>
      <w:r>
        <w:t xml:space="preserve">The key linking study identification numbers to student identities was stored separately from the data. The analysis dataset was de-identified, and all changes to data were recorded in an audit trail.</w:t>
      </w:r>
    </w:p>
    <w:bookmarkEnd w:id="53"/>
    <w:bookmarkStart w:id="55" w:name="ethical-considerations"/>
    <w:p>
      <w:pPr>
        <w:pStyle w:val="Heading2"/>
      </w:pPr>
      <w:r>
        <w:t xml:space="preserve">2.20. Ethical Considerations</w:t>
      </w:r>
    </w:p>
    <w:p>
      <w:pPr>
        <w:pStyle w:val="FirstParagraph"/>
      </w:pPr>
      <w:r>
        <w:rPr>
          <w:bCs/>
          <w:b/>
        </w:rPr>
        <w:t xml:space="preserve">Approval and principles.</w:t>
      </w:r>
      <w:r>
        <w:t xml:space="preserve"> </w:t>
      </w:r>
      <w:r>
        <w:t xml:space="preserve">The study was approved by the Ethics Committee of the Faculty of Nursing, Tanta University (EC-2025-089, 15 December 2025; approved study period to 31 December 2026). It was conducted in accordance with the Declaration of Helsinki (World Medical Association, 2024). It also followed the principles of the Ottawa Statement (Weijer et al., 2012). That statement was written for cluster randomized trials, but its principles apply equally to cluster-allocated nonrandomized designs. The dean and the course director gave gatekeeper permission for allocation at the section level.</w:t>
      </w:r>
    </w:p>
    <w:p>
      <w:pPr>
        <w:pStyle w:val="BodyText"/>
      </w:pPr>
      <w:r>
        <w:rPr>
          <w:bCs/>
          <w:b/>
        </w:rPr>
        <w:t xml:space="preserve">Consent model.</w:t>
      </w:r>
      <w:r>
        <w:t xml:space="preserve"> </w:t>
      </w:r>
      <w:r>
        <w:t xml:space="preserve">Individual consent was obtained for data collection, video recording, and the use of recordings. Section-level delivery of the strategies did not require individual consent, for three reasons:</w:t>
      </w:r>
    </w:p>
    <w:p>
      <w:pPr>
        <w:numPr>
          <w:ilvl w:val="0"/>
          <w:numId w:val="1084"/>
        </w:numPr>
        <w:pStyle w:val="Compact"/>
      </w:pPr>
      <w:r>
        <w:t xml:space="preserve">all three strategies are established educational practices;</w:t>
      </w:r>
    </w:p>
    <w:p>
      <w:pPr>
        <w:numPr>
          <w:ilvl w:val="0"/>
          <w:numId w:val="1084"/>
        </w:numPr>
        <w:pStyle w:val="Compact"/>
      </w:pPr>
      <w:r>
        <w:t xml:space="preserve">the teaching would have taken place as part of the curriculum regardless of the study; and</w:t>
      </w:r>
    </w:p>
    <w:p>
      <w:pPr>
        <w:numPr>
          <w:ilvl w:val="0"/>
          <w:numId w:val="1084"/>
        </w:numPr>
        <w:pStyle w:val="Compact"/>
      </w:pPr>
      <w:r>
        <w:t xml:space="preserve">the risk was minimal.</w:t>
      </w:r>
    </w:p>
    <w:p>
      <w:pPr>
        <w:pStyle w:val="FirstParagraph"/>
      </w:pPr>
      <w:r>
        <w:t xml:space="preserve">Safeguards for voluntariness are described in Section 2.4.</w:t>
      </w:r>
    </w:p>
    <w:p>
      <w:pPr>
        <w:pStyle w:val="BodyText"/>
      </w:pPr>
      <w:r>
        <w:rPr>
          <w:bCs/>
          <w:b/>
        </w:rPr>
        <w:t xml:space="preserve">Psychological safety.</w:t>
      </w:r>
      <w:r>
        <w:t xml:space="preserve"> </w:t>
      </w:r>
      <w:r>
        <w:t xml:space="preserve">Prebriefing established a fiction contract, confidentiality, and the basic assumption that all participants are intelligent, capable, and want to improve. A student who became distressed could stop a scenario at any time and was offered support from a counselor. Any adverse events were logged.</w:t>
      </w:r>
    </w:p>
    <w:p>
      <w:pPr>
        <w:pStyle w:val="BodyText"/>
      </w:pPr>
      <w:r>
        <w:rPr>
          <w:bCs/>
          <w:b/>
        </w:rPr>
        <w:t xml:space="preserve">Ramadan.</w:t>
      </w:r>
      <w:r>
        <w:t xml:space="preserve"> </w:t>
      </w:r>
      <w:r>
        <w:t xml:space="preserve">Sessions were held within official Ramadan teaching hours. No food or drink was required during activities, and students could pause at any time. Post-instruction assessments were held after the Eid al-Fitr holiday.</w:t>
      </w:r>
    </w:p>
    <w:p>
      <w:pPr>
        <w:pStyle w:val="BodyText"/>
      </w:pPr>
      <w:r>
        <w:rPr>
          <w:bCs/>
          <w:b/>
        </w:rPr>
        <w:t xml:space="preserve">Equity.</w:t>
      </w:r>
      <w:r>
        <w:t xml:space="preserve"> </w:t>
      </w:r>
      <w:r>
        <w:t xml:space="preserve">On 9 April 2026, after post-instruction assessment, all students received the materials of every arm: the AI-assisted maps, all three guides, and the worksheets. An optional 90-minute review session was offered to all students before the final course examination.</w:t>
      </w:r>
    </w:p>
    <w:p>
      <w:pPr>
        <w:pStyle w:val="BodyText"/>
      </w:pPr>
      <w:r>
        <w:rPr>
          <w:bCs/>
          <w:b/>
        </w:rPr>
        <w:t xml:space="preserve">Generative AI.</w:t>
      </w:r>
      <w:r>
        <w:t xml:space="preserve"> </w:t>
      </w:r>
      <w:r>
        <w:t xml:space="preserve">No personal data were entered into the AI tool, all cases were fictional, and the AI-assisted maps were labeled as such.</w:t>
      </w:r>
    </w:p>
    <w:p>
      <w:pPr>
        <w:pStyle w:val="BodyText"/>
      </w:pPr>
      <w:r>
        <w:rPr>
          <w:bCs/>
          <w:b/>
        </w:rPr>
        <w:t xml:space="preserve">Confidentiality and retention.</w:t>
      </w:r>
      <w:r>
        <w:t xml:space="preserve"> </w:t>
      </w:r>
      <w:r>
        <w:t xml:space="preserve">Data were de-identified before analysis. Recordings will be kept for 5 years after publication and then destroyed. Recordings will be used for rater training only where students gave the optional consent.</w:t>
      </w:r>
    </w:p>
    <w:p>
      <w:pPr>
        <w:pStyle w:val="BodyText"/>
      </w:pPr>
      <w:r>
        <w:rPr>
          <w:bCs/>
          <w:b/>
        </w:rPr>
        <w:t xml:space="preserve">Compensation.</w:t>
      </w:r>
      <w:r>
        <w:t xml:space="preserve"> </w:t>
      </w:r>
      <w:r>
        <w:t xml:space="preserve">Students received no compensation and no grade credit for participation.</w:t>
      </w:r>
    </w:p>
    <w:p>
      <w:pPr>
        <w:pStyle w:val="BodyText"/>
      </w:pPr>
      <w:r>
        <w:rPr>
          <w:bCs/>
          <w:b/>
        </w:rPr>
        <w:t xml:space="preserve">Data sharing.</w:t>
      </w:r>
      <w:r>
        <w:t xml:space="preserve"> </w:t>
      </w:r>
      <w:r>
        <w:t xml:space="preserve">After publication, the de-identified dataset, analysis code, instruments, and protocol will be made available on Open Science Framework. Video recordings will not be shared.</w:t>
      </w:r>
    </w:p>
    <w:p>
      <w:r>
        <w:pict>
          <v:rect style="width:0;height:1.5pt" o:hralign="center" o:hrstd="t" o:hr="t"/>
        </w:pict>
      </w:r>
    </w:p>
    <w:bookmarkStart w:id="54" w:name="Xd4faaf8da1cf74162237a8428ce5adc00025fdf"/>
    <w:p>
      <w:pPr>
        <w:pStyle w:val="Heading3"/>
      </w:pPr>
      <w:r>
        <w:t xml:space="preserve">References added to or retained in the Methods</w:t>
      </w:r>
    </w:p>
    <w:p>
      <w:pPr>
        <w:pStyle w:val="FirstParagraph"/>
      </w:pPr>
      <w:r>
        <w:rPr>
          <w:iCs/>
          <w:i/>
        </w:rPr>
        <w:t xml:space="preserve">Check volume and page details against the original sources before submission.</w:t>
      </w:r>
    </w:p>
    <w:p>
      <w:pPr>
        <w:numPr>
          <w:ilvl w:val="0"/>
          <w:numId w:val="1085"/>
        </w:numPr>
        <w:pStyle w:val="Compact"/>
      </w:pPr>
      <w:r>
        <w:t xml:space="preserve">American Educational Research Association, American Psychological Association, &amp; National Council on Measurement in Education. (2014).</w:t>
      </w:r>
      <w:r>
        <w:t xml:space="preserve"> </w:t>
      </w:r>
      <w:r>
        <w:rPr>
          <w:iCs/>
          <w:i/>
        </w:rPr>
        <w:t xml:space="preserve">Standards for educational and psychological testing</w:t>
      </w:r>
      <w:r>
        <w:t xml:space="preserve">. AERA.</w:t>
      </w:r>
    </w:p>
    <w:p>
      <w:pPr>
        <w:numPr>
          <w:ilvl w:val="0"/>
          <w:numId w:val="1085"/>
        </w:numPr>
        <w:pStyle w:val="Compact"/>
      </w:pPr>
      <w:r>
        <w:t xml:space="preserve">Anderson, L. W., &amp; Krathwohl, D. R. (Eds.). (2001).</w:t>
      </w:r>
      <w:r>
        <w:t xml:space="preserve"> </w:t>
      </w:r>
      <w:r>
        <w:rPr>
          <w:iCs/>
          <w:i/>
        </w:rPr>
        <w:t xml:space="preserve">A taxonomy for learning, teaching, and assessing</w:t>
      </w:r>
      <w:r>
        <w:t xml:space="preserve">. Longman.</w:t>
      </w:r>
    </w:p>
    <w:p>
      <w:pPr>
        <w:numPr>
          <w:ilvl w:val="0"/>
          <w:numId w:val="1085"/>
        </w:numPr>
        <w:pStyle w:val="Compact"/>
      </w:pPr>
      <w:r>
        <w:t xml:space="preserve">Austin, P. C. (2009). Balance diagnostics for comparing the distribution of baseline covariates between treatment groups in propensity-score matched samples.</w:t>
      </w:r>
      <w:r>
        <w:t xml:space="preserve"> </w:t>
      </w:r>
      <w:r>
        <w:rPr>
          <w:iCs/>
          <w:i/>
        </w:rPr>
        <w:t xml:space="preserve">Statistics in Medicine, 28</w:t>
      </w:r>
      <w:r>
        <w:t xml:space="preserve">(25), 3083–3107.</w:t>
      </w:r>
    </w:p>
    <w:p>
      <w:pPr>
        <w:numPr>
          <w:ilvl w:val="0"/>
          <w:numId w:val="1085"/>
        </w:numPr>
        <w:pStyle w:val="Compact"/>
      </w:pPr>
      <w:r>
        <w:t xml:space="preserve">Bang, H., Ni, L., &amp; Davis, C. E. (2004). Assessment of blinding in clinical trials.</w:t>
      </w:r>
      <w:r>
        <w:t xml:space="preserve"> </w:t>
      </w:r>
      <w:r>
        <w:rPr>
          <w:iCs/>
          <w:i/>
        </w:rPr>
        <w:t xml:space="preserve">Controlled Clinical Trials, 25</w:t>
      </w:r>
      <w:r>
        <w:t xml:space="preserve">(2), 143–156.</w:t>
      </w:r>
    </w:p>
    <w:p>
      <w:pPr>
        <w:numPr>
          <w:ilvl w:val="0"/>
          <w:numId w:val="1085"/>
        </w:numPr>
        <w:pStyle w:val="Compact"/>
      </w:pPr>
      <w:r>
        <w:t xml:space="preserve">Beaton, D. E., Bombardier, C., Guillemin, F., &amp; Ferraz, M. B. (2000). Guidelines for the process of cross-cultural adaptation of self-report measures.</w:t>
      </w:r>
      <w:r>
        <w:t xml:space="preserve"> </w:t>
      </w:r>
      <w:r>
        <w:rPr>
          <w:iCs/>
          <w:i/>
        </w:rPr>
        <w:t xml:space="preserve">Spine, 25</w:t>
      </w:r>
      <w:r>
        <w:t xml:space="preserve">(24), 3186–3191.</w:t>
      </w:r>
    </w:p>
    <w:p>
      <w:pPr>
        <w:numPr>
          <w:ilvl w:val="0"/>
          <w:numId w:val="1085"/>
        </w:numPr>
        <w:pStyle w:val="Compact"/>
      </w:pPr>
      <w:r>
        <w:t xml:space="preserve">Brennan, R. L. (2001).</w:t>
      </w:r>
      <w:r>
        <w:t xml:space="preserve"> </w:t>
      </w:r>
      <w:r>
        <w:rPr>
          <w:iCs/>
          <w:i/>
        </w:rPr>
        <w:t xml:space="preserve">Generalizability theory</w:t>
      </w:r>
      <w:r>
        <w:t xml:space="preserve">. Springer.</w:t>
      </w:r>
    </w:p>
    <w:p>
      <w:pPr>
        <w:numPr>
          <w:ilvl w:val="0"/>
          <w:numId w:val="1085"/>
        </w:numPr>
        <w:pStyle w:val="Compact"/>
      </w:pPr>
      <w:r>
        <w:t xml:space="preserve">Campbell, M. K., Piaggio, G., Elbourne, D. R., &amp; Altman, D. G. (2012). Consort 2010 statement: Extension to cluster randomised trials.</w:t>
      </w:r>
      <w:r>
        <w:t xml:space="preserve"> </w:t>
      </w:r>
      <w:r>
        <w:rPr>
          <w:iCs/>
          <w:i/>
        </w:rPr>
        <w:t xml:space="preserve">BMJ, 345</w:t>
      </w:r>
      <w:r>
        <w:t xml:space="preserve">, e5661.</w:t>
      </w:r>
    </w:p>
    <w:p>
      <w:pPr>
        <w:numPr>
          <w:ilvl w:val="0"/>
          <w:numId w:val="1085"/>
        </w:numPr>
        <w:pStyle w:val="Compact"/>
      </w:pPr>
      <w:r>
        <w:t xml:space="preserve">Cheng, A., Kessler, D., Mackinnon, R., et al. (2016). Reporting guidelines for health care simulation research: Extensions to the CONSORT and STROBE statements.</w:t>
      </w:r>
      <w:r>
        <w:t xml:space="preserve"> </w:t>
      </w:r>
      <w:r>
        <w:rPr>
          <w:iCs/>
          <w:i/>
        </w:rPr>
        <w:t xml:space="preserve">Advances in Simulation, 1</w:t>
      </w:r>
      <w:r>
        <w:t xml:space="preserve">, 25.</w:t>
      </w:r>
    </w:p>
    <w:p>
      <w:pPr>
        <w:numPr>
          <w:ilvl w:val="0"/>
          <w:numId w:val="1085"/>
        </w:numPr>
        <w:pStyle w:val="Compact"/>
      </w:pPr>
      <w:r>
        <w:t xml:space="preserve">Des Jarlais, D. C., Lyles, C., Crepaz, N., &amp; the TREND Group. (2004). Improving the reporting quality of nonrandomized evaluations of behavioral and public health interventions: The TREND statement.</w:t>
      </w:r>
      <w:r>
        <w:t xml:space="preserve"> </w:t>
      </w:r>
      <w:r>
        <w:rPr>
          <w:iCs/>
          <w:i/>
        </w:rPr>
        <w:t xml:space="preserve">American Journal of Public Health, 94</w:t>
      </w:r>
      <w:r>
        <w:t xml:space="preserve">(3), 361–366.</w:t>
      </w:r>
    </w:p>
    <w:p>
      <w:pPr>
        <w:numPr>
          <w:ilvl w:val="0"/>
          <w:numId w:val="1085"/>
        </w:numPr>
        <w:pStyle w:val="Compact"/>
      </w:pPr>
      <w:r>
        <w:t xml:space="preserve">Eppich, W., &amp; Cheng, A. (2015). Promoting Excellence and Reflective Learning in Simulation (PEARLS).</w:t>
      </w:r>
      <w:r>
        <w:t xml:space="preserve"> </w:t>
      </w:r>
      <w:r>
        <w:rPr>
          <w:iCs/>
          <w:i/>
        </w:rPr>
        <w:t xml:space="preserve">Simulation in Healthcare, 10</w:t>
      </w:r>
      <w:r>
        <w:t xml:space="preserve">(2), 106–115.</w:t>
      </w:r>
    </w:p>
    <w:p>
      <w:pPr>
        <w:numPr>
          <w:ilvl w:val="0"/>
          <w:numId w:val="1085"/>
        </w:numPr>
        <w:pStyle w:val="Compact"/>
      </w:pPr>
      <w:r>
        <w:t xml:space="preserve">Fiorella, L., &amp; Mayer, R. E. (2016). Eight ways to promote generative learning.</w:t>
      </w:r>
      <w:r>
        <w:t xml:space="preserve"> </w:t>
      </w:r>
      <w:r>
        <w:rPr>
          <w:iCs/>
          <w:i/>
        </w:rPr>
        <w:t xml:space="preserve">Educational Psychology Review, 28</w:t>
      </w:r>
      <w:r>
        <w:t xml:space="preserve">(4), 717–741.</w:t>
      </w:r>
    </w:p>
    <w:p>
      <w:pPr>
        <w:numPr>
          <w:ilvl w:val="0"/>
          <w:numId w:val="1085"/>
        </w:numPr>
        <w:pStyle w:val="Compact"/>
      </w:pPr>
      <w:r>
        <w:t xml:space="preserve">Haladyna, T. M., Downing, S. M., &amp; Rodriguez, M. C. (2002). A review of multiple-choice item-writing guidelines for classroom assessment.</w:t>
      </w:r>
      <w:r>
        <w:t xml:space="preserve"> </w:t>
      </w:r>
      <w:r>
        <w:rPr>
          <w:iCs/>
          <w:i/>
        </w:rPr>
        <w:t xml:space="preserve">Applied Measurement in Education, 15</w:t>
      </w:r>
      <w:r>
        <w:t xml:space="preserve">(3), 309–333.</w:t>
      </w:r>
    </w:p>
    <w:p>
      <w:pPr>
        <w:numPr>
          <w:ilvl w:val="0"/>
          <w:numId w:val="1085"/>
        </w:numPr>
        <w:pStyle w:val="Compact"/>
      </w:pPr>
      <w:r>
        <w:t xml:space="preserve">Hayes, R. J., &amp; Moulton, L. H. (2017).</w:t>
      </w:r>
      <w:r>
        <w:t xml:space="preserve"> </w:t>
      </w:r>
      <w:r>
        <w:rPr>
          <w:iCs/>
          <w:i/>
        </w:rPr>
        <w:t xml:space="preserve">Cluster randomised trials</w:t>
      </w:r>
      <w:r>
        <w:t xml:space="preserve"> </w:t>
      </w:r>
      <w:r>
        <w:t xml:space="preserve">(2nd ed.). CRC Press.</w:t>
      </w:r>
    </w:p>
    <w:p>
      <w:pPr>
        <w:numPr>
          <w:ilvl w:val="0"/>
          <w:numId w:val="1085"/>
        </w:numPr>
        <w:pStyle w:val="Compact"/>
      </w:pPr>
      <w:r>
        <w:t xml:space="preserve">Hedges, L. V. (2007). Effect sizes in cluster-randomized designs.</w:t>
      </w:r>
      <w:r>
        <w:t xml:space="preserve"> </w:t>
      </w:r>
      <w:r>
        <w:rPr>
          <w:iCs/>
          <w:i/>
        </w:rPr>
        <w:t xml:space="preserve">Journal of Educational and Behavioral Statistics, 32</w:t>
      </w:r>
      <w:r>
        <w:t xml:space="preserve">(4), 341–370.</w:t>
      </w:r>
    </w:p>
    <w:p>
      <w:pPr>
        <w:numPr>
          <w:ilvl w:val="0"/>
          <w:numId w:val="1085"/>
        </w:numPr>
        <w:pStyle w:val="Compact"/>
      </w:pPr>
      <w:r>
        <w:t xml:space="preserve">Hedges, L. V., &amp; Hedberg, E. C. (2007). Intraclass correlation values for planning group-randomized trials in education.</w:t>
      </w:r>
      <w:r>
        <w:t xml:space="preserve"> </w:t>
      </w:r>
      <w:r>
        <w:rPr>
          <w:iCs/>
          <w:i/>
        </w:rPr>
        <w:t xml:space="preserve">Educational Evaluation and Policy Analysis, 29</w:t>
      </w:r>
      <w:r>
        <w:t xml:space="preserve">(1), 60–87.</w:t>
      </w:r>
    </w:p>
    <w:p>
      <w:pPr>
        <w:numPr>
          <w:ilvl w:val="0"/>
          <w:numId w:val="1085"/>
        </w:numPr>
        <w:pStyle w:val="Compact"/>
      </w:pPr>
      <w:r>
        <w:t xml:space="preserve">Hoffmann, T. C., Glasziou, P. P., Boutron, I., et al. (2014). Better reporting of interventions: TIDieR checklist and guide.</w:t>
      </w:r>
      <w:r>
        <w:t xml:space="preserve"> </w:t>
      </w:r>
      <w:r>
        <w:rPr>
          <w:iCs/>
          <w:i/>
        </w:rPr>
        <w:t xml:space="preserve">BMJ, 348</w:t>
      </w:r>
      <w:r>
        <w:t xml:space="preserve">, g1687.</w:t>
      </w:r>
    </w:p>
    <w:p>
      <w:pPr>
        <w:numPr>
          <w:ilvl w:val="0"/>
          <w:numId w:val="1085"/>
        </w:numPr>
        <w:pStyle w:val="Compact"/>
      </w:pPr>
      <w:r>
        <w:t xml:space="preserve">International Council for Harmonisation. (2019).</w:t>
      </w:r>
      <w:r>
        <w:t xml:space="preserve"> </w:t>
      </w:r>
      <w:r>
        <w:rPr>
          <w:iCs/>
          <w:i/>
        </w:rPr>
        <w:t xml:space="preserve">E9(R1) addendum on estimands and sensitivity analysis in clinical trials</w:t>
      </w:r>
      <w:r>
        <w:t xml:space="preserve">.</w:t>
      </w:r>
    </w:p>
    <w:p>
      <w:pPr>
        <w:numPr>
          <w:ilvl w:val="0"/>
          <w:numId w:val="1085"/>
        </w:numPr>
        <w:pStyle w:val="Compact"/>
      </w:pPr>
      <w:r>
        <w:t xml:space="preserve">James, K. E., Bloch, D. A., Lee, K. K., Kraemer, H. C., &amp; Fuller, R. K. (1996). An index for assessing blindness in a multi-centre clinical trial.</w:t>
      </w:r>
      <w:r>
        <w:t xml:space="preserve"> </w:t>
      </w:r>
      <w:r>
        <w:rPr>
          <w:iCs/>
          <w:i/>
        </w:rPr>
        <w:t xml:space="preserve">Statistics in Medicine, 15</w:t>
      </w:r>
      <w:r>
        <w:t xml:space="preserve">(13), 1421–1434.</w:t>
      </w:r>
    </w:p>
    <w:p>
      <w:pPr>
        <w:numPr>
          <w:ilvl w:val="0"/>
          <w:numId w:val="1085"/>
        </w:numPr>
        <w:pStyle w:val="Compact"/>
      </w:pPr>
      <w:r>
        <w:t xml:space="preserve">Kalyuga, S., Ayres, P., Chandler, P., &amp; Sweller, J. (2003). The expertise reversal effect.</w:t>
      </w:r>
      <w:r>
        <w:t xml:space="preserve"> </w:t>
      </w:r>
      <w:r>
        <w:rPr>
          <w:iCs/>
          <w:i/>
        </w:rPr>
        <w:t xml:space="preserve">Educational Psychologist, 38</w:t>
      </w:r>
      <w:r>
        <w:t xml:space="preserve">(1), 23–31.</w:t>
      </w:r>
    </w:p>
    <w:p>
      <w:pPr>
        <w:numPr>
          <w:ilvl w:val="0"/>
          <w:numId w:val="1085"/>
        </w:numPr>
        <w:pStyle w:val="Compact"/>
      </w:pPr>
      <w:r>
        <w:t xml:space="preserve">Kane, M. T. (2013). Validating the interpretations and uses of test scores.</w:t>
      </w:r>
      <w:r>
        <w:t xml:space="preserve"> </w:t>
      </w:r>
      <w:r>
        <w:rPr>
          <w:iCs/>
          <w:i/>
        </w:rPr>
        <w:t xml:space="preserve">Journal of Educational Measurement, 50</w:t>
      </w:r>
      <w:r>
        <w:t xml:space="preserve">(1), 1–73.</w:t>
      </w:r>
    </w:p>
    <w:p>
      <w:pPr>
        <w:numPr>
          <w:ilvl w:val="0"/>
          <w:numId w:val="1085"/>
        </w:numPr>
        <w:pStyle w:val="Compact"/>
      </w:pPr>
      <w:r>
        <w:t xml:space="preserve">Kenward, M. G., &amp; Roger, J. H. (1997). Small sample inference for fixed effects from restricted maximum likelihood.</w:t>
      </w:r>
      <w:r>
        <w:t xml:space="preserve"> </w:t>
      </w:r>
      <w:r>
        <w:rPr>
          <w:iCs/>
          <w:i/>
        </w:rPr>
        <w:t xml:space="preserve">Biometrics, 53</w:t>
      </w:r>
      <w:r>
        <w:t xml:space="preserve">(3), 983–997.</w:t>
      </w:r>
    </w:p>
    <w:p>
      <w:pPr>
        <w:numPr>
          <w:ilvl w:val="0"/>
          <w:numId w:val="1085"/>
        </w:numPr>
        <w:pStyle w:val="Compact"/>
      </w:pPr>
      <w:r>
        <w:t xml:space="preserve">Kolen, M. J., &amp; Brennan, R. L. (2014).</w:t>
      </w:r>
      <w:r>
        <w:t xml:space="preserve"> </w:t>
      </w:r>
      <w:r>
        <w:rPr>
          <w:iCs/>
          <w:i/>
        </w:rPr>
        <w:t xml:space="preserve">Test equating, scaling, and linking</w:t>
      </w:r>
      <w:r>
        <w:t xml:space="preserve"> </w:t>
      </w:r>
      <w:r>
        <w:t xml:space="preserve">(3rd ed.). Springer.</w:t>
      </w:r>
    </w:p>
    <w:p>
      <w:pPr>
        <w:numPr>
          <w:ilvl w:val="0"/>
          <w:numId w:val="1085"/>
        </w:numPr>
        <w:pStyle w:val="Compact"/>
      </w:pPr>
      <w:r>
        <w:t xml:space="preserve">Koo, T. K., &amp; Li, M. Y. (2016). A guideline of selecting and reporting intraclass correlation coefficients for reliability research.</w:t>
      </w:r>
      <w:r>
        <w:t xml:space="preserve"> </w:t>
      </w:r>
      <w:r>
        <w:rPr>
          <w:iCs/>
          <w:i/>
        </w:rPr>
        <w:t xml:space="preserve">Journal of Chiropractic Medicine, 15</w:t>
      </w:r>
      <w:r>
        <w:t xml:space="preserve">(2), 155–163.</w:t>
      </w:r>
    </w:p>
    <w:p>
      <w:pPr>
        <w:numPr>
          <w:ilvl w:val="0"/>
          <w:numId w:val="1085"/>
        </w:numPr>
        <w:pStyle w:val="Compact"/>
      </w:pPr>
      <w:r>
        <w:t xml:space="preserve">Lasater, K. (2007). Clinical judgment development: Using simulation to create an assessment rubric.</w:t>
      </w:r>
      <w:r>
        <w:t xml:space="preserve"> </w:t>
      </w:r>
      <w:r>
        <w:rPr>
          <w:iCs/>
          <w:i/>
        </w:rPr>
        <w:t xml:space="preserve">Journal of Nursing Education, 46</w:t>
      </w:r>
      <w:r>
        <w:t xml:space="preserve">(11), 496–503.</w:t>
      </w:r>
    </w:p>
    <w:p>
      <w:pPr>
        <w:numPr>
          <w:ilvl w:val="0"/>
          <w:numId w:val="1085"/>
        </w:numPr>
        <w:pStyle w:val="Compact"/>
      </w:pPr>
      <w:r>
        <w:t xml:space="preserve">Leppink, J., Paas, F., Van der Vleuten, C. P. M., Van Gog, T., &amp; Van Merriënboer, J. J. G. (2013). Development of an instrument for measuring different types of cognitive load.</w:t>
      </w:r>
      <w:r>
        <w:t xml:space="preserve"> </w:t>
      </w:r>
      <w:r>
        <w:rPr>
          <w:iCs/>
          <w:i/>
        </w:rPr>
        <w:t xml:space="preserve">Behavior Research Methods, 45</w:t>
      </w:r>
      <w:r>
        <w:t xml:space="preserve">(4), 1058–1072.</w:t>
      </w:r>
    </w:p>
    <w:p>
      <w:pPr>
        <w:numPr>
          <w:ilvl w:val="0"/>
          <w:numId w:val="1085"/>
        </w:numPr>
        <w:pStyle w:val="Compact"/>
      </w:pPr>
      <w:r>
        <w:t xml:space="preserve">Leyrat, C., Morgan, K. E., Leurent, B., &amp; Kahan, B. C. (2018). Cluster randomized trials with a small number of clusters: Which analyses should be used?</w:t>
      </w:r>
      <w:r>
        <w:t xml:space="preserve"> </w:t>
      </w:r>
      <w:r>
        <w:rPr>
          <w:iCs/>
          <w:i/>
        </w:rPr>
        <w:t xml:space="preserve">International Journal of Epidemiology, 47</w:t>
      </w:r>
      <w:r>
        <w:t xml:space="preserve">(1), 321–331.</w:t>
      </w:r>
    </w:p>
    <w:p>
      <w:pPr>
        <w:numPr>
          <w:ilvl w:val="0"/>
          <w:numId w:val="1085"/>
        </w:numPr>
        <w:pStyle w:val="Compact"/>
      </w:pPr>
      <w:r>
        <w:t xml:space="preserve">Li, F., &amp; Li, F. (2019). Propensity score weighting for causal inference with multiple treatments.</w:t>
      </w:r>
      <w:r>
        <w:t xml:space="preserve"> </w:t>
      </w:r>
      <w:r>
        <w:rPr>
          <w:iCs/>
          <w:i/>
        </w:rPr>
        <w:t xml:space="preserve">Annals of Applied Statistics, 13</w:t>
      </w:r>
      <w:r>
        <w:t xml:space="preserve">(4), 2389–2415.</w:t>
      </w:r>
    </w:p>
    <w:p>
      <w:pPr>
        <w:numPr>
          <w:ilvl w:val="0"/>
          <w:numId w:val="1085"/>
        </w:numPr>
        <w:pStyle w:val="Compact"/>
      </w:pPr>
      <w:r>
        <w:t xml:space="preserve">Lipsitch, M., Tchetgen Tchetgen, E., &amp; Cohen, T. (2010). Negative controls: A tool for detecting confounding and bias in observational studies.</w:t>
      </w:r>
      <w:r>
        <w:t xml:space="preserve"> </w:t>
      </w:r>
      <w:r>
        <w:rPr>
          <w:iCs/>
          <w:i/>
        </w:rPr>
        <w:t xml:space="preserve">Epidemiology, 21</w:t>
      </w:r>
      <w:r>
        <w:t xml:space="preserve">(3), 383–388.</w:t>
      </w:r>
    </w:p>
    <w:p>
      <w:pPr>
        <w:numPr>
          <w:ilvl w:val="0"/>
          <w:numId w:val="1085"/>
        </w:numPr>
        <w:pStyle w:val="Compact"/>
      </w:pPr>
      <w:r>
        <w:t xml:space="preserve">Lynn, M. R. (1986). Determination and quantification of content validity.</w:t>
      </w:r>
      <w:r>
        <w:t xml:space="preserve"> </w:t>
      </w:r>
      <w:r>
        <w:rPr>
          <w:iCs/>
          <w:i/>
        </w:rPr>
        <w:t xml:space="preserve">Nursing Research, 35</w:t>
      </w:r>
      <w:r>
        <w:t xml:space="preserve">(6), 382–385.</w:t>
      </w:r>
    </w:p>
    <w:p>
      <w:pPr>
        <w:numPr>
          <w:ilvl w:val="0"/>
          <w:numId w:val="1085"/>
        </w:numPr>
        <w:pStyle w:val="Compact"/>
      </w:pPr>
      <w:r>
        <w:t xml:space="preserve">Polit, D. F., Beck, C. T., &amp; Owen, S. V. (2007). Is the CVI an acceptable indicator of content validity?</w:t>
      </w:r>
      <w:r>
        <w:t xml:space="preserve"> </w:t>
      </w:r>
      <w:r>
        <w:rPr>
          <w:iCs/>
          <w:i/>
        </w:rPr>
        <w:t xml:space="preserve">Research in Nursing &amp; Health, 30</w:t>
      </w:r>
      <w:r>
        <w:t xml:space="preserve">(4), 459–467.</w:t>
      </w:r>
    </w:p>
    <w:p>
      <w:pPr>
        <w:numPr>
          <w:ilvl w:val="0"/>
          <w:numId w:val="1085"/>
        </w:numPr>
        <w:pStyle w:val="Compact"/>
      </w:pPr>
      <w:r>
        <w:t xml:space="preserve">Shadish, W. R., Cook, T. D., &amp; Campbell, D. T. (2002).</w:t>
      </w:r>
      <w:r>
        <w:t xml:space="preserve"> </w:t>
      </w:r>
      <w:r>
        <w:rPr>
          <w:iCs/>
          <w:i/>
        </w:rPr>
        <w:t xml:space="preserve">Experimental and quasi-experimental designs for generalized causal inference</w:t>
      </w:r>
      <w:r>
        <w:t xml:space="preserve">. Houghton Mifflin.</w:t>
      </w:r>
    </w:p>
    <w:p>
      <w:pPr>
        <w:numPr>
          <w:ilvl w:val="0"/>
          <w:numId w:val="1085"/>
        </w:numPr>
        <w:pStyle w:val="Compact"/>
      </w:pPr>
      <w:r>
        <w:t xml:space="preserve">Sterne, J. A. C., Hernán, M. A., Reeves, B. C., et al. (2016). ROBINS-I: A tool for assessing risk of bias in non-randomised studies of interventions.</w:t>
      </w:r>
      <w:r>
        <w:t xml:space="preserve"> </w:t>
      </w:r>
      <w:r>
        <w:rPr>
          <w:iCs/>
          <w:i/>
        </w:rPr>
        <w:t xml:space="preserve">BMJ, 355</w:t>
      </w:r>
      <w:r>
        <w:t xml:space="preserve">, i4919.</w:t>
      </w:r>
    </w:p>
    <w:p>
      <w:pPr>
        <w:numPr>
          <w:ilvl w:val="0"/>
          <w:numId w:val="1085"/>
        </w:numPr>
        <w:pStyle w:val="Compact"/>
      </w:pPr>
      <w:r>
        <w:t xml:space="preserve">Sweller, J., van Merriënboer, J. J. G., &amp; Paas, F. (2019). Cognitive architecture and instructional design: 20 years later.</w:t>
      </w:r>
      <w:r>
        <w:t xml:space="preserve"> </w:t>
      </w:r>
      <w:r>
        <w:rPr>
          <w:iCs/>
          <w:i/>
        </w:rPr>
        <w:t xml:space="preserve">Educational Psychology Review, 31</w:t>
      </w:r>
      <w:r>
        <w:t xml:space="preserve">(2), 261–292.</w:t>
      </w:r>
    </w:p>
    <w:p>
      <w:pPr>
        <w:numPr>
          <w:ilvl w:val="0"/>
          <w:numId w:val="1085"/>
        </w:numPr>
        <w:pStyle w:val="Compact"/>
      </w:pPr>
      <w:r>
        <w:t xml:space="preserve">Teerenstra, S., Eldridge, S., Graff, M., de Hoop, E., &amp; Borm, G. F. (2012). A simple sample size formula for analysis of covariance in cluster randomized trials.</w:t>
      </w:r>
      <w:r>
        <w:t xml:space="preserve"> </w:t>
      </w:r>
      <w:r>
        <w:rPr>
          <w:iCs/>
          <w:i/>
        </w:rPr>
        <w:t xml:space="preserve">Statistics in Medicine, 31</w:t>
      </w:r>
      <w:r>
        <w:t xml:space="preserve">(20), 2169–2178.</w:t>
      </w:r>
    </w:p>
    <w:p>
      <w:pPr>
        <w:numPr>
          <w:ilvl w:val="0"/>
          <w:numId w:val="1085"/>
        </w:numPr>
        <w:pStyle w:val="Compact"/>
      </w:pPr>
      <w:r>
        <w:t xml:space="preserve">VanderWeele, T. J., &amp; Ding, P. (2017). Sensitivity analysis in observational research: Introducing the E-value.</w:t>
      </w:r>
      <w:r>
        <w:t xml:space="preserve"> </w:t>
      </w:r>
      <w:r>
        <w:rPr>
          <w:iCs/>
          <w:i/>
        </w:rPr>
        <w:t xml:space="preserve">Annals of Internal Medicine, 167</w:t>
      </w:r>
      <w:r>
        <w:t xml:space="preserve">(4), 268–274.</w:t>
      </w:r>
    </w:p>
    <w:p>
      <w:pPr>
        <w:numPr>
          <w:ilvl w:val="0"/>
          <w:numId w:val="1085"/>
        </w:numPr>
        <w:pStyle w:val="Compact"/>
      </w:pPr>
      <w:r>
        <w:t xml:space="preserve">Weijer, C., Grimshaw, J. M., Eccles, M. P., et al. (2012). The Ottawa Statement on the ethical design and conduct of cluster randomized trials.</w:t>
      </w:r>
      <w:r>
        <w:t xml:space="preserve"> </w:t>
      </w:r>
      <w:r>
        <w:rPr>
          <w:iCs/>
          <w:i/>
        </w:rPr>
        <w:t xml:space="preserve">PLoS Medicine, 9</w:t>
      </w:r>
      <w:r>
        <w:t xml:space="preserve">(11), e1001346.</w:t>
      </w:r>
    </w:p>
    <w:p>
      <w:pPr>
        <w:numPr>
          <w:ilvl w:val="0"/>
          <w:numId w:val="1085"/>
        </w:numPr>
        <w:pStyle w:val="Compact"/>
      </w:pPr>
      <w:r>
        <w:t xml:space="preserve">World Medical Association. (2024). Declaration of Helsinki: Ethical principles for medical research involving human participants.</w:t>
      </w:r>
      <w:r>
        <w:t xml:space="preserve"> </w:t>
      </w:r>
      <w:r>
        <w:rPr>
          <w:iCs/>
          <w:i/>
        </w:rPr>
        <w:t xml:space="preserve">JAMA</w:t>
      </w:r>
      <w:r>
        <w:t xml:space="preserve">. (Published online October 2024.)</w:t>
      </w:r>
    </w:p>
    <w:p>
      <w:pPr>
        <w:numPr>
          <w:ilvl w:val="0"/>
          <w:numId w:val="1085"/>
        </w:numPr>
        <w:pStyle w:val="Compact"/>
      </w:pPr>
      <w:r>
        <w:t xml:space="preserve">Retained from the original manuscript: Bayzat and Dinc (2025); Chan et al. (2025); Decker et al. (2025); Kochanek et al. (2019); Levett-Jones et al. (2010); Liaw et al. (2018); NICE (2023); Persico et al. (2025); Watts et al. (2021).</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Methods (revised)</dc:title>
  <dc:creator/>
  <cp:keywords/>
  <dcterms:created xsi:type="dcterms:W3CDTF">2026-10-09T22:17:43Z</dcterms:created>
  <dcterms:modified xsi:type="dcterms:W3CDTF">2026-10-09T22:17:43Z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AI-Assisted Versus Student-Generated Mind Maps for Clinical Reasoning in Pediatric Neurotrauma Nursing Education: A Three-Arm Quasi-Experimental Study</vt:lpwstr>
  </property>
</Properties>
</file>