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Supplementary File S2. Consolidated Criteria for Reporting Qualitative Research (COREQ) checklist</w:t>
      </w:r>
    </w:p>
    <w:p>
      <w:pPr>
        <w:pBdr>
          <w:top w:val="single" w:color="B03A2E" w:sz="8" w:space="4"/>
          <w:bottom w:val="single" w:color="B03A2E" w:sz="8" w:space="4"/>
          <w:left w:val="single" w:color="B03A2E" w:sz="8" w:space="4"/>
          <w:right w:val="single" w:color="B03A2E" w:sz="8" w:space="4"/>
        </w:pBdr>
        <w:shd w:fill="FDECEA" w:color="auto" w:val="clear"/>
        <w:spacing w:after="240" w:line="300"/>
      </w:pPr>
      <w:r>
        <w:rPr>
          <w:b/>
          <w:bCs/>
        </w:rPr>
        <w:t xml:space="preserve">Simulation notice.</w:t>
      </w:r>
      <w:r>
        <w:t xml:space="preserve"> This checklist belongs to an educational simulation. Section references point to the simulated manuscript (Sections 1–3) and its supplementary files.</w:t>
      </w:r>
    </w:p>
    <w:p>
      <w:pPr>
        <w:spacing w:after="160" w:line="360"/>
        <w:jc w:val="both"/>
      </w:pPr>
      <w:r>
        <w:t xml:space="preserve">Checklist items follow Tong et al. (2007). "Reported in" gives the manuscript section, table or supplementary file. Page numbers should be added once the manuscript is typeset.</w:t>
      </w:r>
    </w:p>
    <w:p>
      <w:pPr>
        <w:pStyle w:val="Heading1"/>
        <w:keepNext/>
      </w:pPr>
      <w:r>
        <w:t xml:space="preserve">Domain 1. Research team and reflexivity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"/>
        <w:gridCol w:w="1704"/>
        <w:gridCol w:w="2610"/>
        <w:gridCol w:w="1905"/>
        <w:gridCol w:w="2306"/>
      </w:tblGrid>
      <w:tr>
        <w:trPr>
          <w:cantSplit w:val="false"/>
          <w:tblHeader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Guide question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Reported in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How reported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Personal characteristics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Interviewer or facilitator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Which author conducted the interviews?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 2.4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Nurse researcher interviewed women and physiotherapists; physiotherapist researcher interviewed maternity nurses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Credentials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What were the researchers' credentials?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 2.7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Nursing doctorate; rehabilitation-sciences doctorate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Occupation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What was their occupation at the time of the study?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 2.7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University faculty members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Gender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Was the researcher male or female?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 2.7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Both women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Experience and training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What experience or training did the researchers have?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 2.7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Eight years' maternity clinical experience and previous Interpretive Description research (nurse researcher); musculoskeletal and women's health experience and postgraduate qualitative-methods training (physiotherapist researcher)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Relationship with participants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Relationship established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Was a relationship established before study commencement?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Sections 2.3.4, 2.4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Researchers held no clinical, managerial or supervisory role at the sites; neither had taught professional participants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Participant knowledge of the interviewer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What did participants know about the researcher?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 2.7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Informed of researchers' professional backgrounds, affiliation and study purpose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Interviewer characteristics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What characteristics were reported about the interviewer?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 2.7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Arabic-speaking Saudi women fluent in English; documented assumptions about early movement, fear, physiotherapy use and nursing workload; cross-disciplinary interviewing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Domain 2. Study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"/>
        <w:gridCol w:w="1704"/>
        <w:gridCol w:w="2610"/>
        <w:gridCol w:w="1905"/>
        <w:gridCol w:w="2306"/>
      </w:tblGrid>
      <w:tr>
        <w:trPr>
          <w:cantSplit w:val="false"/>
          <w:tblHeader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Guide question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Reported in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How reported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Theoretical framework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Methodological orientation and theory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What methodological orientation underpinned the study?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Sections 1.1, 2.1; Figure 1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Interpretive Description; relational autonomy as a sensitising orientation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Participant selection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Sampling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How were participants selected?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 2.3.3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Purposive sampling for variation within each group; analysis-directed recruitment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Method of approach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How were participants approached?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 2.3.4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Women: screened by the nurse in charge, then given verbal and written information face to face by the nurse researcher, with at least 12 hours before consent. Professionals: study information circulated by managers and leads; professionals contacted the researchers directly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Sample size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How many participants were in the study?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Sections 2.3.5, 2.3.6; Tables 2–3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37: 18 women, 12 maternity nurses, seven physiotherapists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Non-participation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How many people refused to participate or dropped out, and why?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 2.3.6; Table 2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Nine women declined before consent (fatigue or infant-care priorities, 4; after family discussion, 2; discharged and declined remote interview, 3); four nurses could not schedule; one physiotherapist did not proceed because of workload; no withdrawals after consent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Setting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Setting of data collection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Where were the data collected?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 2.4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Inpatient women: private rooms (9) or bedside with neighbouring beds unoccupied (5); after discharge: telephone (3) or video (1). Professionals: private rooms away from clinical areas (13) or video (6)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Presence of non-participants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Was anyone else present besides the participants and researchers?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Sections 2.4, 2.8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Female relatives present in five women's interviews, with separate consent; their speech excluded from analysis and quotation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Description of sample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What are the important characteristics of the sample?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Table 3; Supplementary Table S3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Maternal clinical descriptors; professional experience, language, shift pattern and caseload; site profiles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Data collection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Interview guide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Were questions, prompts and guides provided by the authors? Was it pilot tested?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 2.4; Supplementary File S1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Three group-specific guides; piloted with one woman and one nurse; changes listed in S1 Part A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Repeat interviews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Were repeat interviews carried out?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 2.4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interview was repeated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Audio or visual recording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Did the research use audio or visual recording?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 2.4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Audio-recorded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Field notes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Were field notes made during or after the interview?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 2.4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Completed after each interview, including companions' presence and apparent influence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Duration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What was the duration of the interviews?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 2.4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Women 28–55 minutes (median 39); professionals 41–74 minutes (median 52)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Data saturation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Was data saturation discussed?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 2.3.5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Sample adequacy assessed through information power rather than saturation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Transcripts returned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Were transcripts returned to participants for comment or correction?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Not currently stated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⚠ Suggested addition to Section 2.5: "Transcripts were not returned to participants for comment."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Domain 3. Analysis and findings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"/>
        <w:gridCol w:w="1704"/>
        <w:gridCol w:w="2610"/>
        <w:gridCol w:w="1905"/>
        <w:gridCol w:w="2306"/>
      </w:tblGrid>
      <w:tr>
        <w:trPr>
          <w:cantSplit w:val="false"/>
          <w:tblHeader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Guide question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Reported in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How reported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Data analysis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Number of data coders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How many data coders coded the data?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 2.6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Both researchers coded all transcripts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Description of the coding tree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Did authors provide a description of the coding tree?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Table 4; Supplementary File S4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Theme structure (Table 4); code-to-episode-to-theme trace and code revisions (S4)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Derivation of themes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Were themes identified in advance or derived from the data?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Sections 2.1, 2.6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Derived inductively; Figure 1 sensitised but did not prescribe codes; revised in Section 3.6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Software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What software, if applicable, was used to manage the data?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 2.6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NVivo 14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Participant checking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Did participants provide feedback on the findings?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 2.7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Participants did not validate the cross-account synthesis; advisers discussed anonymised preliminary summaries (Section 2.9)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Reporting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Quotations presented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Were participant quotations presented to illustrate the themes? Was each quotation identified?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Sections 3.2–3.4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46 quotations from all 37 participants, each identified by participant code and limited descriptors; translation marked </w:t>
            </w:r>
            <w:r>
              <w:rPr>
                <w:i/>
                <w:iCs/>
                <w:sz w:val="19"/>
                <w:szCs w:val="19"/>
              </w:rPr>
              <w:t xml:space="preserve">(Ar)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Data and findings consistent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Was there consistency between the data presented and the findings?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Sections 3.1–3.5; Tables 5–6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Each subtheme presents accounts from the contributing groups; Table 6 maps findings to objectives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Clarity of major themes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Were major themes clearly presented in the findings?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Sections 3.2–3.4; Table 4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Three themes</w:t>
            </w:r>
          </w:p>
        </w:tc>
      </w:tr>
      <w:tr>
        <w:trPr>
          <w:cantSplit/>
          <w:tblHeader w:val="false"/>
        </w:trPr>
        <w:tc>
          <w:tcPr>
            <w:tcW w:type="dxa" w:w="5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1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Clarity of minor themes</w:t>
            </w:r>
          </w:p>
        </w:tc>
        <w:tc>
          <w:tcPr>
            <w:tcW w:type="dxa" w:w="2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 there a description of diverse cases or discussion of minor themes?</w:t>
            </w:r>
          </w:p>
        </w:tc>
        <w:tc>
          <w:tcPr>
            <w:tcW w:type="dxa" w:w="1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Sections 3.2–3.4, 3.7</w:t>
            </w:r>
          </w:p>
        </w:tc>
        <w:tc>
          <w:tcPr>
            <w:tcW w:type="dxa" w:w="2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Nine subthemes, each with contrasting or divergent accounts; boundaries of the interpretation stated</w:t>
            </w:r>
          </w:p>
        </w:tc>
      </w:tr>
    </w:tbl>
    <w:p>
      <w:pPr>
        <w:spacing w:after="60"/>
      </w:pPr>
    </w:p>
    <w:p>
      <w:pPr>
        <w:spacing w:after="240" w:line="276"/>
      </w:pPr>
      <w:r>
        <w:rPr>
          <w:i/>
          <w:iCs/>
          <w:sz w:val="19"/>
          <w:szCs w:val="19"/>
        </w:rPr>
        <w:t xml:space="preserve">Note.</w:t>
      </w:r>
      <w:r>
        <w:rPr>
          <w:sz w:val="19"/>
          <w:szCs w:val="19"/>
        </w:rPr>
        <w:t xml:space="preserve"> Tong A, Sainsbury P, Craig J. Consolidated criteria for reporting qualitative research (COREQ): a 32-item checklist for interviews and focus groups. </w:t>
      </w:r>
      <w:r>
        <w:rPr>
          <w:i/>
          <w:iCs/>
          <w:sz w:val="19"/>
          <w:szCs w:val="19"/>
        </w:rPr>
        <w:t xml:space="preserve">International Journal for Quality in Health Care</w:t>
      </w:r>
      <w:r>
        <w:rPr>
          <w:sz w:val="19"/>
          <w:szCs w:val="19"/>
        </w:rPr>
        <w:t xml:space="preserve"> 2007;19(6):349–357.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B03A2E"/>
        <w:sz w:val="16"/>
        <w:szCs w:val="16"/>
      </w:rPr>
      <w:t xml:space="preserve">SIMULATED DATA — EDUCATIONAL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File S2. Consolidated Criteria for Reporting Qualitative Research (COREQ) checklist</dc:title>
  <dc:creator>Educational simulation</dc:creator>
  <cp:lastModifiedBy>Un-named</cp:lastModifiedBy>
  <cp:revision>1</cp:revision>
  <dcterms:created xsi:type="dcterms:W3CDTF">2026-10-07T21:39:54.984Z</dcterms:created>
  <dcterms:modified xsi:type="dcterms:W3CDTF">2026-10-07T21:39:54.984Z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