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Supplementary File S4. Analytic trace: from anonymised extract to episode summaries and interpretation</w:t>
      </w:r>
    </w:p>
    <w:p>
      <w:pPr>
        <w:pBdr>
          <w:top w:val="single" w:color="B03A2E" w:sz="8" w:space="4"/>
          <w:bottom w:val="single" w:color="B03A2E" w:sz="8" w:space="4"/>
          <w:left w:val="single" w:color="B03A2E" w:sz="8" w:space="4"/>
          <w:right w:val="single" w:color="B03A2E" w:sz="8" w:space="4"/>
        </w:pBdr>
        <w:shd w:fill="FDECEA" w:color="auto" w:val="clear"/>
        <w:spacing w:after="240" w:line="300"/>
      </w:pPr>
      <w:r>
        <w:rPr>
          <w:b/>
          <w:bCs/>
        </w:rPr>
        <w:t xml:space="preserve">Simulation notice.</w:t>
      </w:r>
      <w:r>
        <w:t xml:space="preserve"> This analytic trace belongs to an educational simulation. Extracts, codes, memos and episode records are invented for teaching.</w:t>
      </w:r>
    </w:p>
    <w:p>
      <w:pPr>
        <w:spacing w:after="160" w:line="360"/>
        <w:jc w:val="both"/>
      </w:pPr>
      <w:r>
        <w:t xml:space="preserve">This file illustrates how the analysis moved from transcript to interpretation (Section 2.6). It contains: S4.1 episode rules and identifiers; S4.2 and S4.3 two worked examples (one woman's account and one nurse's account); S4.4 the move from episodes to subthemes; S4.5 analytic memos that changed the analysis; S4.6 the record of analytic meetings; and S4.7 the distribution of episodes across accounts. Extracts are anonymised and shortened. Line numbers refer to the de-identified transcript. Square brackets mark clarifications or anonymising substitutions.</w:t>
      </w:r>
    </w:p>
    <w:p>
      <w:pPr>
        <w:pStyle w:val="Heading1"/>
        <w:keepNext/>
      </w:pPr>
      <w:r>
        <w:t xml:space="preserve">S4.1 Episode rules and identifiers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187"/>
        <w:gridCol w:w="9771"/>
      </w:tblGrid>
      <w:tr>
        <w:trPr>
          <w:cantSplit w:val="false"/>
          <w:tblHeader/>
        </w:trPr>
        <w:tc>
          <w:tcPr>
            <w:tcW w:type="dxa" w:w="4187"/>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Rule</w:t>
            </w:r>
          </w:p>
        </w:tc>
        <w:tc>
          <w:tcPr>
            <w:tcW w:type="dxa" w:w="977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Application</w:t>
            </w:r>
          </w:p>
        </w:tc>
      </w:tr>
      <w:tr>
        <w:trPr>
          <w:cantSplit/>
          <w:tblHeader w:val="false"/>
        </w:trPr>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Analytic episode</w:t>
            </w:r>
          </w:p>
        </w:tc>
        <w:tc>
          <w:tcPr>
            <w:tcW w:type="dxa" w:w="97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 proposed mobilisation activity at a particular time, with its reported appraisals and actions and the first reported outcome</w:t>
            </w:r>
          </w:p>
        </w:tc>
      </w:tr>
      <w:tr>
        <w:trPr>
          <w:cantSplit/>
          <w:tblHeader w:val="false"/>
        </w:trPr>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Temporary pause</w:t>
            </w:r>
          </w:p>
        </w:tc>
        <w:tc>
          <w:tcPr>
            <w:tcW w:type="dxa" w:w="97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 pause followed by continuation of the same agreed activity, without a new appraisal, stays within one episode</w:t>
            </w:r>
          </w:p>
        </w:tc>
      </w:tr>
      <w:tr>
        <w:trPr>
          <w:cantSplit/>
          <w:tblHeader w:val="false"/>
        </w:trPr>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Linked episodes</w:t>
            </w:r>
          </w:p>
        </w:tc>
        <w:tc>
          <w:tcPr>
            <w:tcW w:type="dxa" w:w="97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An attempt that ended and was later resumed after a new appraisal produces linked episodes sharing a parent identifier</w:t>
            </w:r>
          </w:p>
        </w:tc>
      </w:tr>
      <w:tr>
        <w:trPr>
          <w:cantSplit/>
          <w:tblHeader w:val="false"/>
        </w:trPr>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Continuous sequences</w:t>
            </w:r>
          </w:p>
        </w:tc>
        <w:tc>
          <w:tcPr>
            <w:tcW w:type="dxa" w:w="97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 sitting–standing–walking sequence is divided only when separate appraisals or decisions are reported</w:t>
            </w:r>
          </w:p>
        </w:tc>
      </w:tr>
      <w:tr>
        <w:trPr>
          <w:cantSplit/>
          <w:tblHeader w:val="false"/>
        </w:trPr>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New episode</w:t>
            </w:r>
          </w:p>
        </w:tc>
        <w:tc>
          <w:tcPr>
            <w:tcW w:type="dxa" w:w="97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 change in the agreed plan; another person's appraisal leading to a further activity or revised plan; or a new movement attempt at a later recovery stage</w:t>
            </w:r>
          </w:p>
        </w:tc>
      </w:tr>
      <w:tr>
        <w:trPr>
          <w:cantSplit/>
          <w:tblHeader w:val="false"/>
        </w:trPr>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Repeated descriptions</w:t>
            </w:r>
          </w:p>
        </w:tc>
        <w:tc>
          <w:tcPr>
            <w:tcW w:type="dxa" w:w="97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Repeated descriptions of the same episode within one account are merged</w:t>
            </w:r>
          </w:p>
        </w:tc>
      </w:tr>
      <w:tr>
        <w:trPr>
          <w:cantSplit/>
          <w:tblHeader w:val="false"/>
        </w:trPr>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Excluded</w:t>
            </w:r>
          </w:p>
        </w:tc>
        <w:tc>
          <w:tcPr>
            <w:tcW w:type="dxa" w:w="97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Passive transport (bed, trolley or wheelchair) is not a mobilisation episode</w:t>
            </w:r>
          </w:p>
        </w:tc>
      </w:tr>
      <w:tr>
        <w:trPr>
          <w:cantSplit/>
          <w:tblHeader w:val="false"/>
        </w:trPr>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Identifiers</w:t>
            </w:r>
          </w:p>
        </w:tc>
        <w:tc>
          <w:tcPr>
            <w:tcW w:type="dxa" w:w="97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Episode: participant code + E + number (e.g., W10-E02). Parent of linked episodes: participant code + L + number (e.g., W10-L1)</w:t>
            </w:r>
          </w:p>
        </w:tc>
      </w:tr>
      <w:tr>
        <w:trPr>
          <w:cantSplit/>
          <w:tblHeader w:val="false"/>
        </w:trPr>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Action category</w:t>
            </w:r>
          </w:p>
        </w:tc>
        <w:tc>
          <w:tcPr>
            <w:tcW w:type="dxa" w:w="97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The first reported action is coded as attempted as proposed, adapted, paused or stopped with resumption in a linked episode, or deferred before any attempt (Table 5)</w:t>
            </w:r>
          </w:p>
        </w:tc>
      </w:tr>
    </w:tbl>
    <w:p>
      <w:pPr>
        <w:spacing w:after="60"/>
      </w:pPr>
    </w:p>
    <w:p>
      <w:r>
        <w:br w:type="page"/>
      </w:r>
    </w:p>
    <w:p>
      <w:pPr>
        <w:pStyle w:val="Heading1"/>
        <w:keepNext/>
      </w:pPr>
      <w:r>
        <w:t xml:space="preserve">S4.2 Worked example 1: a woman's account (W10)</w:t>
      </w:r>
    </w:p>
    <w:p>
      <w:pPr>
        <w:spacing w:after="160" w:line="360"/>
        <w:jc w:val="both"/>
      </w:pPr>
      <w:r>
        <w:rPr>
          <w:b/>
          <w:bCs/>
        </w:rPr>
        <w:t xml:space="preserve">Context (from extraction sheet, not from the interview).</w:t>
      </w:r>
      <w:r>
        <w:t xml:space="preserve"> Primiparous; urgency category 2; laboured before caesarean; epidural anaesthesia; first documented nurse-assisted out-of-bed mobilisation more than 24 hours after surgery; received physiotherapy during admission; interviewed as an inpatient. Translated from Arabic.</w:t>
      </w:r>
    </w:p>
    <w:p>
      <w:pPr>
        <w:spacing w:after="160" w:line="360"/>
        <w:jc w:val="both"/>
      </w:pPr>
      <w:r>
        <w:rPr>
          <w:b/>
          <w:bCs/>
        </w:rPr>
        <w:t xml:space="preserve">Extract (lines 40–50)</w:t>
      </w:r>
    </w:p>
    <w:p>
      <w:pPr>
        <w:spacing w:after="200" w:before="60" w:line="300"/>
        <w:ind w:left="720" w:right="720"/>
        <w:jc w:val="both"/>
      </w:pPr>
      <w:r>
        <w:rPr>
          <w:b/>
          <w:bCs/>
        </w:rPr>
        <w:t xml:space="preserve">Interviewer [40]:</w:t>
      </w:r>
      <w:r>
        <w:t xml:space="preserve"> You said the first time they wanted you to get up was the evening after the operation. What happened?</w:t>
      </w:r>
    </w:p>
    <w:p>
      <w:pPr>
        <w:spacing w:after="200" w:before="60" w:line="300"/>
        <w:ind w:left="720" w:right="720"/>
        <w:jc w:val="both"/>
      </w:pPr>
      <w:r>
        <w:rPr>
          <w:b/>
          <w:bCs/>
        </w:rPr>
        <w:t xml:space="preserve">W10 [41]:</w:t>
      </w:r>
      <w:r>
        <w:t xml:space="preserve"> The nurse came and said, now we sit up and then stand. I had the epidural from the labour, and my legs were fine by then. I sat on the edge of the bed.</w:t>
      </w:r>
    </w:p>
    <w:p>
      <w:pPr>
        <w:spacing w:after="200" w:before="60" w:line="300"/>
        <w:ind w:left="720" w:right="720"/>
        <w:jc w:val="both"/>
      </w:pPr>
      <w:r>
        <w:rPr>
          <w:b/>
          <w:bCs/>
        </w:rPr>
        <w:t xml:space="preserve">W10 [42]:</w:t>
      </w:r>
      <w:r>
        <w:t xml:space="preserve"> They kept saying "don't be afraid". I wasn't afraid of walking. I was afraid of the blood. When I sat up I felt it come out, a lot, and nobody had told me if that is normal.</w:t>
      </w:r>
    </w:p>
    <w:p>
      <w:pPr>
        <w:spacing w:after="200" w:before="60" w:line="300"/>
        <w:ind w:left="720" w:right="720"/>
        <w:jc w:val="both"/>
      </w:pPr>
      <w:r>
        <w:rPr>
          <w:b/>
          <w:bCs/>
        </w:rPr>
        <w:t xml:space="preserve">W10 [43]:</w:t>
      </w:r>
      <w:r>
        <w:t xml:space="preserve"> I said I want to lie down. She said okay, we try in the morning.</w:t>
      </w:r>
    </w:p>
    <w:p>
      <w:pPr>
        <w:spacing w:after="200" w:before="60" w:line="300"/>
        <w:ind w:left="720" w:right="720"/>
        <w:jc w:val="both"/>
      </w:pPr>
      <w:r>
        <w:rPr>
          <w:b/>
          <w:bCs/>
        </w:rPr>
        <w:t xml:space="preserve">Interviewer [44]:</w:t>
      </w:r>
      <w:r>
        <w:t xml:space="preserve"> Did anyone explain about the bleeding?</w:t>
      </w:r>
    </w:p>
    <w:p>
      <w:pPr>
        <w:spacing w:after="200" w:before="60" w:line="300"/>
        <w:ind w:left="720" w:right="720"/>
        <w:jc w:val="both"/>
      </w:pPr>
      <w:r>
        <w:rPr>
          <w:b/>
          <w:bCs/>
        </w:rPr>
        <w:t xml:space="preserve">W10 [45]:</w:t>
      </w:r>
      <w:r>
        <w:t xml:space="preserve"> Not then. In the morning the other nurse looked at the pad and said this is normal after birth, it is less than it feels. When she said that, I was ready to try. After the noon pain medicine she let me sit a long time first, and then I stood and went to the chair.</w:t>
      </w:r>
    </w:p>
    <w:p>
      <w:pPr>
        <w:spacing w:after="200" w:before="60" w:line="300"/>
        <w:ind w:left="720" w:right="720"/>
        <w:jc w:val="both"/>
      </w:pPr>
      <w:r>
        <w:rPr>
          <w:b/>
          <w:bCs/>
        </w:rPr>
        <w:t xml:space="preserve">W10 [46]:</w:t>
      </w:r>
      <w:r>
        <w:t xml:space="preserve"> In the evening I walked to the door with her.</w:t>
      </w:r>
    </w:p>
    <w:p>
      <w:pPr>
        <w:spacing w:after="200" w:before="60" w:line="300"/>
        <w:ind w:left="720" w:right="720"/>
        <w:jc w:val="both"/>
      </w:pPr>
      <w:r>
        <w:rPr>
          <w:b/>
          <w:bCs/>
        </w:rPr>
        <w:t xml:space="preserve">Interviewer [47]:</w:t>
      </w:r>
      <w:r>
        <w:t xml:space="preserve"> And after that?</w:t>
      </w:r>
    </w:p>
    <w:p>
      <w:pPr>
        <w:spacing w:after="200" w:before="60" w:line="300"/>
        <w:ind w:left="720" w:right="720"/>
        <w:jc w:val="both"/>
      </w:pPr>
      <w:r>
        <w:rPr>
          <w:b/>
          <w:bCs/>
        </w:rPr>
        <w:t xml:space="preserve">W10 [48]:</w:t>
      </w:r>
      <w:r>
        <w:t xml:space="preserve"> The next day I wanted to go to the bathroom alone, but the nurse came with me. At the bathroom I got dizzy. She sat me on the chair there, we waited, then she walked me back.</w:t>
      </w:r>
    </w:p>
    <w:p>
      <w:pPr>
        <w:spacing w:after="200" w:before="60" w:line="300"/>
        <w:ind w:left="720" w:right="720"/>
        <w:jc w:val="both"/>
      </w:pPr>
      <w:r>
        <w:rPr>
          <w:b/>
          <w:bCs/>
        </w:rPr>
        <w:t xml:space="preserve">W10 [49]:</w:t>
      </w:r>
      <w:r>
        <w:t xml:space="preserve"> Every new nurse asked me the same questions from the beginning, as if I had never stood. In the end I started telling them myself: yesterday I walked to the door, I got dizzy at the bathroom, give me the pain medicine first.</w:t>
      </w:r>
    </w:p>
    <w:p>
      <w:pPr>
        <w:spacing w:after="200" w:before="60" w:line="300"/>
        <w:ind w:left="720" w:right="720"/>
        <w:jc w:val="both"/>
      </w:pPr>
      <w:r>
        <w:rPr>
          <w:b/>
          <w:bCs/>
        </w:rPr>
        <w:t xml:space="preserve">W10 [50]:</w:t>
      </w:r>
      <w:r>
        <w:t xml:space="preserve"> With the night nurse I did that. She gave me the medicine, we waited, and I went to the bathroom and back without dizziness.</w:t>
      </w:r>
    </w:p>
    <w:p>
      <w:pPr>
        <w:spacing w:after="160" w:line="360"/>
        <w:jc w:val="both"/>
      </w:pPr>
      <w:r>
        <w:rPr>
          <w:b/>
          <w:bCs/>
        </w:rPr>
        <w:t xml:space="preserve">Initial and revised codes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256"/>
        <w:gridCol w:w="4328"/>
        <w:gridCol w:w="4187"/>
        <w:gridCol w:w="4187"/>
      </w:tblGrid>
      <w:tr>
        <w:trPr>
          <w:cantSplit w:val="false"/>
          <w:tblHeader/>
        </w:trPr>
        <w:tc>
          <w:tcPr>
            <w:tcW w:type="dxa" w:w="125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Line</w:t>
            </w:r>
          </w:p>
        </w:tc>
        <w:tc>
          <w:tcPr>
            <w:tcW w:type="dxa" w:w="4328"/>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Text segment</w:t>
            </w:r>
          </w:p>
        </w:tc>
        <w:tc>
          <w:tcPr>
            <w:tcW w:type="dxa" w:w="4187"/>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Initial code (close to participant's language)</w:t>
            </w:r>
          </w:p>
        </w:tc>
        <w:tc>
          <w:tcPr>
            <w:tcW w:type="dxa" w:w="4187"/>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Code after revision (meeting 4 onwards)</w:t>
            </w:r>
          </w:p>
        </w:tc>
      </w:tr>
      <w:tr>
        <w:trPr>
          <w:cantSplit/>
          <w:tblHeader w:val="false"/>
        </w:trPr>
        <w:tc>
          <w:tcPr>
            <w:tcW w:type="dxa" w:w="1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42</w:t>
            </w:r>
          </w:p>
        </w:tc>
        <w:tc>
          <w:tcPr>
            <w:tcW w:type="dxa" w:w="43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"They kept saying 'don't be afraid'"</w:t>
            </w:r>
          </w:p>
        </w:tc>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Fear of moving</w:t>
            </w:r>
          </w:p>
        </w:tc>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Professional reading of reluctance as fear</w:t>
            </w:r>
          </w:p>
        </w:tc>
      </w:tr>
      <w:tr>
        <w:trPr>
          <w:cantSplit/>
          <w:tblHeader w:val="false"/>
        </w:trPr>
        <w:tc>
          <w:tcPr>
            <w:tcW w:type="dxa" w:w="1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42</w:t>
            </w:r>
          </w:p>
        </w:tc>
        <w:tc>
          <w:tcPr>
            <w:tcW w:type="dxa" w:w="43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 was afraid of the blood … nobody had told me if that is normal"</w:t>
            </w:r>
          </w:p>
        </w:tc>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Fear: bleeding</w:t>
            </w:r>
          </w:p>
        </w:tc>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Concern: sensation of heavy bleeding; information gap: normal postnatal bleeding</w:t>
            </w:r>
          </w:p>
        </w:tc>
      </w:tr>
      <w:tr>
        <w:trPr>
          <w:cantSplit/>
          <w:tblHeader w:val="false"/>
        </w:trPr>
        <w:tc>
          <w:tcPr>
            <w:tcW w:type="dxa" w:w="1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43</w:t>
            </w:r>
          </w:p>
        </w:tc>
        <w:tc>
          <w:tcPr>
            <w:tcW w:type="dxa" w:w="43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"She said okay, we try in the morning"</w:t>
            </w:r>
          </w:p>
        </w:tc>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Deferral</w:t>
            </w:r>
          </w:p>
        </w:tc>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Deferral accepted without explanation</w:t>
            </w:r>
          </w:p>
        </w:tc>
      </w:tr>
      <w:tr>
        <w:trPr>
          <w:cantSplit/>
          <w:tblHeader w:val="false"/>
        </w:trPr>
        <w:tc>
          <w:tcPr>
            <w:tcW w:type="dxa" w:w="1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45</w:t>
            </w:r>
          </w:p>
        </w:tc>
        <w:tc>
          <w:tcPr>
            <w:tcW w:type="dxa" w:w="43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"looked at the pad and said this is normal … then I was ready"</w:t>
            </w:r>
          </w:p>
        </w:tc>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Reassurance</w:t>
            </w:r>
          </w:p>
        </w:tc>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Clinical check of the woman's report; explanation changes the woman's appraisal</w:t>
            </w:r>
          </w:p>
        </w:tc>
      </w:tr>
      <w:tr>
        <w:trPr>
          <w:cantSplit/>
          <w:tblHeader w:val="false"/>
        </w:trPr>
        <w:tc>
          <w:tcPr>
            <w:tcW w:type="dxa" w:w="1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45</w:t>
            </w:r>
          </w:p>
        </w:tc>
        <w:tc>
          <w:tcPr>
            <w:tcW w:type="dxa" w:w="43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"after the noon pain medicine … sit a long time first"</w:t>
            </w:r>
          </w:p>
        </w:tc>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Analgesia; sitting</w:t>
            </w:r>
          </w:p>
        </w:tc>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Analgesia timing; staged activity with extended sitting</w:t>
            </w:r>
          </w:p>
        </w:tc>
      </w:tr>
      <w:tr>
        <w:trPr>
          <w:cantSplit/>
          <w:tblHeader w:val="false"/>
        </w:trPr>
        <w:tc>
          <w:tcPr>
            <w:tcW w:type="dxa" w:w="1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48</w:t>
            </w:r>
          </w:p>
        </w:tc>
        <w:tc>
          <w:tcPr>
            <w:tcW w:type="dxa" w:w="43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 wanted to go … alone, but the nurse came with me"</w:t>
            </w:r>
          </w:p>
        </w:tc>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Wanting independence</w:t>
            </w:r>
          </w:p>
        </w:tc>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Level of support negotiated: supervision</w:t>
            </w:r>
          </w:p>
        </w:tc>
      </w:tr>
      <w:tr>
        <w:trPr>
          <w:cantSplit/>
          <w:tblHeader w:val="false"/>
        </w:trPr>
        <w:tc>
          <w:tcPr>
            <w:tcW w:type="dxa" w:w="1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48</w:t>
            </w:r>
          </w:p>
        </w:tc>
        <w:tc>
          <w:tcPr>
            <w:tcW w:type="dxa" w:w="43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"At the bathroom I got dizzy … we waited, then she walked me back"</w:t>
            </w:r>
          </w:p>
        </w:tc>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Dizziness</w:t>
            </w:r>
          </w:p>
        </w:tc>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Symptom during attempt; temporary pause within the same activity</w:t>
            </w:r>
          </w:p>
        </w:tc>
      </w:tr>
      <w:tr>
        <w:trPr>
          <w:cantSplit/>
          <w:tblHeader w:val="false"/>
        </w:trPr>
        <w:tc>
          <w:tcPr>
            <w:tcW w:type="dxa" w:w="1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49</w:t>
            </w:r>
          </w:p>
        </w:tc>
        <w:tc>
          <w:tcPr>
            <w:tcW w:type="dxa" w:w="43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"Every new nurse asked me the same questions"</w:t>
            </w:r>
          </w:p>
        </w:tc>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Repetition</w:t>
            </w:r>
          </w:p>
        </w:tc>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Reasons not carried across shifts</w:t>
            </w:r>
          </w:p>
        </w:tc>
      </w:tr>
      <w:tr>
        <w:trPr>
          <w:cantSplit/>
          <w:tblHeader w:val="false"/>
        </w:trPr>
        <w:tc>
          <w:tcPr>
            <w:tcW w:type="dxa" w:w="1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49</w:t>
            </w:r>
          </w:p>
        </w:tc>
        <w:tc>
          <w:tcPr>
            <w:tcW w:type="dxa" w:w="43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 started telling them myself"</w:t>
            </w:r>
          </w:p>
        </w:tc>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Telling the nurse</w:t>
            </w:r>
          </w:p>
        </w:tc>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Woman as carrier of her mobilisation history</w:t>
            </w:r>
          </w:p>
        </w:tc>
      </w:tr>
      <w:tr>
        <w:trPr>
          <w:cantSplit/>
          <w:tblHeader w:val="false"/>
        </w:trPr>
        <w:tc>
          <w:tcPr>
            <w:tcW w:type="dxa" w:w="1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50</w:t>
            </w:r>
          </w:p>
        </w:tc>
        <w:tc>
          <w:tcPr>
            <w:tcW w:type="dxa" w:w="432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"She gave me the medicine, we waited"</w:t>
            </w:r>
          </w:p>
        </w:tc>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Analgesia</w:t>
            </w:r>
          </w:p>
        </w:tc>
        <w:tc>
          <w:tcPr>
            <w:tcW w:type="dxa" w:w="41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Woman directs analgesia timing; reconsideration informed by the earlier episode</w:t>
            </w:r>
          </w:p>
        </w:tc>
      </w:tr>
    </w:tbl>
    <w:p>
      <w:pPr>
        <w:spacing w:after="60"/>
      </w:pPr>
    </w:p>
    <w:p>
      <w:pPr>
        <w:spacing w:after="160" w:line="360"/>
        <w:jc w:val="both"/>
      </w:pPr>
      <w:r>
        <w:rPr>
          <w:b/>
          <w:bCs/>
        </w:rPr>
        <w:t xml:space="preserve">Episode summaries (matrix rows)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960"/>
        <w:gridCol w:w="734"/>
        <w:gridCol w:w="1695"/>
        <w:gridCol w:w="2151"/>
        <w:gridCol w:w="1921"/>
        <w:gridCol w:w="1412"/>
        <w:gridCol w:w="1695"/>
        <w:gridCol w:w="1695"/>
        <w:gridCol w:w="1695"/>
      </w:tblGrid>
      <w:tr>
        <w:trPr>
          <w:cantSplit w:val="false"/>
          <w:tblHeader/>
        </w:trPr>
        <w:tc>
          <w:tcPr>
            <w:tcW w:type="dxa" w:w="96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Episode</w:t>
            </w:r>
          </w:p>
        </w:tc>
        <w:tc>
          <w:tcPr>
            <w:tcW w:type="dxa" w:w="734"/>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Link</w:t>
            </w:r>
          </w:p>
        </w:tc>
        <w:tc>
          <w:tcPr>
            <w:tcW w:type="dxa" w:w="1695"/>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Activity and recovery stage</w:t>
            </w:r>
          </w:p>
        </w:tc>
        <w:tc>
          <w:tcPr>
            <w:tcW w:type="dxa" w:w="215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Appraisal contributors</w:t>
            </w:r>
          </w:p>
        </w:tc>
        <w:tc>
          <w:tcPr>
            <w:tcW w:type="dxa" w:w="192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Information and concerns</w:t>
            </w:r>
          </w:p>
        </w:tc>
        <w:tc>
          <w:tcPr>
            <w:tcW w:type="dxa" w:w="1412"/>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Reported action</w:t>
            </w:r>
          </w:p>
        </w:tc>
        <w:tc>
          <w:tcPr>
            <w:tcW w:type="dxa" w:w="1695"/>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Reasons given</w:t>
            </w:r>
          </w:p>
        </w:tc>
        <w:tc>
          <w:tcPr>
            <w:tcW w:type="dxa" w:w="1695"/>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Appraisal described as influencing action</w:t>
            </w:r>
          </w:p>
        </w:tc>
        <w:tc>
          <w:tcPr>
            <w:tcW w:type="dxa" w:w="1695"/>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Reconsideration</w:t>
            </w:r>
          </w:p>
        </w:tc>
      </w:tr>
      <w:tr>
        <w:trPr>
          <w:cantSplit/>
          <w:tblHeader w:val="false"/>
        </w:trPr>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W10-E01</w:t>
            </w:r>
          </w:p>
        </w:tc>
        <w:tc>
          <w:tcPr>
            <w:tcW w:type="dxa" w:w="7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L1</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Proposed first standing after bed-edge sitting; evening of day of surgery</w:t>
            </w:r>
          </w:p>
        </w:tc>
        <w:tc>
          <w:tcPr>
            <w:tcW w:type="dxa" w:w="21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Legs recovered after epidural; sensation of heavy bleeding on sitting</w:t>
            </w:r>
          </w:p>
        </w:tc>
        <w:tc>
          <w:tcPr>
            <w:tcW w:type="dxa" w:w="19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 information on normal postnatal bleeding; reassurance framed as fear</w:t>
            </w:r>
          </w:p>
        </w:tc>
        <w:tc>
          <w:tcPr>
            <w:tcW w:type="dxa" w:w="14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Deferred before any attempt (standing)</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Woman's concern about bleeding</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Woman's report of bleeding sensation; accepted without exploration</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Next attempt planned for the morning; no explanation given</w:t>
            </w:r>
          </w:p>
        </w:tc>
      </w:tr>
      <w:tr>
        <w:trPr>
          <w:cantSplit/>
          <w:tblHeader w:val="false"/>
        </w:trPr>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W10-E02</w:t>
            </w:r>
          </w:p>
        </w:tc>
        <w:tc>
          <w:tcPr>
            <w:tcW w:type="dxa" w:w="7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L1</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First standing and transfer to chair; first postoperative day, after noon (first documented out-of-bed mobilisation)</w:t>
            </w:r>
          </w:p>
        </w:tc>
        <w:tc>
          <w:tcPr>
            <w:tcW w:type="dxa" w:w="21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Pad checked; analgesia given; extended sitting</w:t>
            </w:r>
          </w:p>
        </w:tc>
        <w:tc>
          <w:tcPr>
            <w:tcW w:type="dxa" w:w="19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Explanation that bleeding was normal</w:t>
            </w:r>
          </w:p>
        </w:tc>
        <w:tc>
          <w:tcPr>
            <w:tcW w:type="dxa" w:w="14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Adapted (extended sitting before standing)</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Concern resolved by explanation; analgesia</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Nurse's clinical check, conveyed as explanation; woman's renewed willingness</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Progression to walking the same evening</w:t>
            </w:r>
          </w:p>
        </w:tc>
      </w:tr>
      <w:tr>
        <w:trPr>
          <w:cantSplit/>
          <w:tblHeader w:val="false"/>
        </w:trPr>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W10-E03</w:t>
            </w:r>
          </w:p>
        </w:tc>
        <w:tc>
          <w:tcPr>
            <w:tcW w:type="dxa" w:w="7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Walking to the door; first postoperative day, evening</w:t>
            </w:r>
          </w:p>
        </w:tc>
        <w:tc>
          <w:tcPr>
            <w:tcW w:type="dxa" w:w="21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 new symptoms reported</w:t>
            </w:r>
          </w:p>
        </w:tc>
        <w:tc>
          <w:tcPr>
            <w:tcW w:type="dxa" w:w="19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t>
            </w:r>
          </w:p>
        </w:tc>
        <w:tc>
          <w:tcPr>
            <w:tcW w:type="dxa" w:w="14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Attempted as proposed</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Previous success</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Woman and nurse in agreement</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t>
            </w:r>
          </w:p>
        </w:tc>
      </w:tr>
      <w:tr>
        <w:trPr>
          <w:cantSplit/>
          <w:tblHeader w:val="false"/>
        </w:trPr>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W10-E04</w:t>
            </w:r>
          </w:p>
        </w:tc>
        <w:tc>
          <w:tcPr>
            <w:tcW w:type="dxa" w:w="7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L2</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Walking to the bathroom; second postoperative day</w:t>
            </w:r>
          </w:p>
        </w:tc>
        <w:tc>
          <w:tcPr>
            <w:tcW w:type="dxa" w:w="21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Wish to go alone; dizziness at the bathroom</w:t>
            </w:r>
          </w:p>
        </w:tc>
        <w:tc>
          <w:tcPr>
            <w:tcW w:type="dxa" w:w="19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t>
            </w:r>
          </w:p>
        </w:tc>
        <w:tc>
          <w:tcPr>
            <w:tcW w:type="dxa" w:w="14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Adapted (supervision instead of walking alone; rest on chair during the attempt)</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Nurse's preference to accompany; dizziness</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Nurse's appraisal of support needed</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Activity completed after a temporary pause; reasons not handed over</w:t>
            </w:r>
          </w:p>
        </w:tc>
      </w:tr>
      <w:tr>
        <w:trPr>
          <w:cantSplit/>
          <w:tblHeader w:val="false"/>
        </w:trPr>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W10-E05</w:t>
            </w:r>
          </w:p>
        </w:tc>
        <w:tc>
          <w:tcPr>
            <w:tcW w:type="dxa" w:w="7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L2</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Walking to the bathroom; second postoperative day, night</w:t>
            </w:r>
          </w:p>
        </w:tc>
        <w:tc>
          <w:tcPr>
            <w:tcW w:type="dxa" w:w="21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Woman's account of earlier dizziness; analgesia timing</w:t>
            </w:r>
          </w:p>
        </w:tc>
        <w:tc>
          <w:tcPr>
            <w:tcW w:type="dxa" w:w="19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Woman supplied her own mobilisation history</w:t>
            </w:r>
          </w:p>
        </w:tc>
        <w:tc>
          <w:tcPr>
            <w:tcW w:type="dxa" w:w="14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Adapted (analgesia given first)</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Woman's request based on the previous attempt</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Woman's account of the previous episode</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Completed without dizziness</w:t>
            </w:r>
          </w:p>
        </w:tc>
      </w:tr>
    </w:tbl>
    <w:p>
      <w:pPr>
        <w:spacing w:after="60"/>
      </w:pPr>
    </w:p>
    <w:p>
      <w:pPr>
        <w:spacing w:after="240" w:line="276"/>
      </w:pPr>
      <w:r>
        <w:rPr>
          <w:i/>
          <w:iCs/>
          <w:sz w:val="19"/>
          <w:szCs w:val="19"/>
        </w:rPr>
        <w:t xml:space="preserve">Note.</w:t>
      </w:r>
      <w:r>
        <w:rPr>
          <w:sz w:val="19"/>
          <w:szCs w:val="19"/>
        </w:rPr>
        <w:t xml:space="preserve"> W10-E01 involved bed-edge sitting, which is preparatory and does not count as first out-of-bed mobilisation. W10-E02 corresponds to the first documented nurse-assisted out-of-bed mobilisation in the record (more than 24 hours after surgery; Table 3).</w:t>
      </w:r>
    </w:p>
    <w:p>
      <w:r>
        <w:br w:type="page"/>
      </w:r>
    </w:p>
    <w:p>
      <w:pPr>
        <w:pStyle w:val="Heading1"/>
        <w:keepNext/>
      </w:pPr>
      <w:r>
        <w:t xml:space="preserve">S4.3 Worked example 2: a maternity nurse's account (N01, pilot interview)</w:t>
      </w:r>
    </w:p>
    <w:p>
      <w:pPr>
        <w:spacing w:after="160" w:line="360"/>
        <w:jc w:val="both"/>
      </w:pPr>
      <w:r>
        <w:rPr>
          <w:b/>
          <w:bCs/>
        </w:rPr>
        <w:t xml:space="preserve">Context (from contextual information form).</w:t>
      </w:r>
      <w:r>
        <w:t xml:space="preserve"> 5–10 years' postnatal experience; first language other than Arabic; interviewed in English. Most recent detailed episode, about two months before interview (within the six-month recall period).</w:t>
      </w:r>
    </w:p>
    <w:p>
      <w:pPr>
        <w:spacing w:after="160" w:line="360"/>
        <w:jc w:val="both"/>
      </w:pPr>
      <w:r>
        <w:rPr>
          <w:b/>
          <w:bCs/>
        </w:rPr>
        <w:t xml:space="preserve">Extract (lines 62–68)</w:t>
      </w:r>
    </w:p>
    <w:p>
      <w:pPr>
        <w:spacing w:after="200" w:before="60" w:line="300"/>
        <w:ind w:left="720" w:right="720"/>
        <w:jc w:val="both"/>
      </w:pPr>
      <w:r>
        <w:rPr>
          <w:b/>
          <w:bCs/>
        </w:rPr>
        <w:t xml:space="preserve">Interviewer [62]:</w:t>
      </w:r>
      <w:r>
        <w:t xml:space="preserve"> Can you tell me about the most recent one you remember well?</w:t>
      </w:r>
    </w:p>
    <w:p>
      <w:pPr>
        <w:spacing w:after="200" w:before="60" w:line="300"/>
        <w:ind w:left="720" w:right="720"/>
        <w:jc w:val="both"/>
      </w:pPr>
      <w:r>
        <w:rPr>
          <w:b/>
          <w:bCs/>
        </w:rPr>
        <w:t xml:space="preserve">N01 [63]:</w:t>
      </w:r>
      <w:r>
        <w:t xml:space="preserve"> It was maybe two months ago. Emergency section in the night, she had laboured for a long time before, spinal. In the morning everything looked okay: pressure fine, bleeding normal, she could lift her legs. She said she was ready, she wanted to see the baby properly.</w:t>
      </w:r>
    </w:p>
    <w:p>
      <w:pPr>
        <w:spacing w:after="200" w:before="60" w:line="300"/>
        <w:ind w:left="720" w:right="720"/>
        <w:jc w:val="both"/>
      </w:pPr>
      <w:r>
        <w:rPr>
          <w:b/>
          <w:bCs/>
        </w:rPr>
        <w:t xml:space="preserve">N01 [64]:</w:t>
      </w:r>
      <w:r>
        <w:t xml:space="preserve"> So we sat on the edge, maybe one minute, and she stood. Then she went pale, she said everything is going dark.</w:t>
      </w:r>
    </w:p>
    <w:p>
      <w:pPr>
        <w:spacing w:after="200" w:before="60" w:line="300"/>
        <w:ind w:left="720" w:right="720"/>
        <w:jc w:val="both"/>
      </w:pPr>
      <w:r>
        <w:rPr>
          <w:b/>
          <w:bCs/>
        </w:rPr>
        <w:t xml:space="preserve">N01 [65]:</w:t>
      </w:r>
      <w:r>
        <w:t xml:space="preserve"> The first time she nearly fainted, I sat her back, legs up, checked her. I didn't write "refused". I wrote "dizzy on standing, BP [low], retry after fluids and analgesia".</w:t>
      </w:r>
    </w:p>
    <w:p>
      <w:pPr>
        <w:spacing w:after="200" w:before="60" w:line="300"/>
        <w:ind w:left="720" w:right="720"/>
        <w:jc w:val="both"/>
      </w:pPr>
      <w:r>
        <w:rPr>
          <w:b/>
          <w:bCs/>
        </w:rPr>
        <w:t xml:space="preserve">N01 [66]:</w:t>
      </w:r>
      <w:r>
        <w:t xml:space="preserve"> I told her it's common, it's not her fault, we'll try again after lunch. I told the doctor also and he increased the fluids.</w:t>
      </w:r>
    </w:p>
    <w:p>
      <w:pPr>
        <w:spacing w:after="200" w:before="60" w:line="300"/>
        <w:ind w:left="720" w:right="720"/>
        <w:jc w:val="both"/>
      </w:pPr>
      <w:r>
        <w:rPr>
          <w:b/>
          <w:bCs/>
        </w:rPr>
        <w:t xml:space="preserve">N01 [67]:</w:t>
      </w:r>
      <w:r>
        <w:t xml:space="preserve"> The second time we did it slowly, longer sitting first, and she walked to the bathroom.</w:t>
      </w:r>
    </w:p>
    <w:p>
      <w:pPr>
        <w:spacing w:after="200" w:before="60" w:line="300"/>
        <w:ind w:left="720" w:right="720"/>
        <w:jc w:val="both"/>
      </w:pPr>
      <w:r>
        <w:rPr>
          <w:b/>
          <w:bCs/>
        </w:rPr>
        <w:t xml:space="preserve">N01 [68]:</w:t>
      </w:r>
      <w:r>
        <w:t xml:space="preserve"> Some nurses, they write "patient refused mobilisation", and then the next shift thinks she is difficult.</w:t>
      </w:r>
    </w:p>
    <w:p>
      <w:pPr>
        <w:spacing w:after="240" w:line="276"/>
      </w:pPr>
      <w:r>
        <w:rPr>
          <w:i/>
          <w:iCs/>
          <w:sz w:val="19"/>
          <w:szCs w:val="19"/>
        </w:rPr>
        <w:t xml:space="preserve">Note.</w:t>
      </w:r>
      <w:r>
        <w:rPr>
          <w:sz w:val="19"/>
          <w:szCs w:val="19"/>
        </w:rPr>
        <w:t xml:space="preserve"> "[low]" replaces the blood-pressure value given by the participant. The published quotation in Section 3.4.1 joins lines 65 and 67 and marks the omission of line 66 with an ellipsis.</w:t>
      </w:r>
    </w:p>
    <w:p>
      <w:pPr>
        <w:spacing w:after="160" w:line="360"/>
        <w:jc w:val="both"/>
      </w:pPr>
      <w:r>
        <w:rPr>
          <w:b/>
          <w:bCs/>
        </w:rPr>
        <w:t xml:space="preserve">Episode summaries (matrix rows)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960"/>
        <w:gridCol w:w="734"/>
        <w:gridCol w:w="1695"/>
        <w:gridCol w:w="2151"/>
        <w:gridCol w:w="1921"/>
        <w:gridCol w:w="1412"/>
        <w:gridCol w:w="1695"/>
        <w:gridCol w:w="1695"/>
        <w:gridCol w:w="1695"/>
      </w:tblGrid>
      <w:tr>
        <w:trPr>
          <w:cantSplit w:val="false"/>
          <w:tblHeader/>
        </w:trPr>
        <w:tc>
          <w:tcPr>
            <w:tcW w:type="dxa" w:w="96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Episode</w:t>
            </w:r>
          </w:p>
        </w:tc>
        <w:tc>
          <w:tcPr>
            <w:tcW w:type="dxa" w:w="734"/>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Link</w:t>
            </w:r>
          </w:p>
        </w:tc>
        <w:tc>
          <w:tcPr>
            <w:tcW w:type="dxa" w:w="1695"/>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Activity and recovery stage</w:t>
            </w:r>
          </w:p>
        </w:tc>
        <w:tc>
          <w:tcPr>
            <w:tcW w:type="dxa" w:w="215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Appraisal contributors</w:t>
            </w:r>
          </w:p>
        </w:tc>
        <w:tc>
          <w:tcPr>
            <w:tcW w:type="dxa" w:w="192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Information and concerns</w:t>
            </w:r>
          </w:p>
        </w:tc>
        <w:tc>
          <w:tcPr>
            <w:tcW w:type="dxa" w:w="1412"/>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Reported action</w:t>
            </w:r>
          </w:p>
        </w:tc>
        <w:tc>
          <w:tcPr>
            <w:tcW w:type="dxa" w:w="1695"/>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Reasons given</w:t>
            </w:r>
          </w:p>
        </w:tc>
        <w:tc>
          <w:tcPr>
            <w:tcW w:type="dxa" w:w="1695"/>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Appraisal described as influencing action</w:t>
            </w:r>
          </w:p>
        </w:tc>
        <w:tc>
          <w:tcPr>
            <w:tcW w:type="dxa" w:w="1695"/>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Reconsideration</w:t>
            </w:r>
          </w:p>
        </w:tc>
      </w:tr>
      <w:tr>
        <w:trPr>
          <w:cantSplit/>
          <w:tblHeader w:val="false"/>
        </w:trPr>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N01-E04</w:t>
            </w:r>
          </w:p>
        </w:tc>
        <w:tc>
          <w:tcPr>
            <w:tcW w:type="dxa" w:w="7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L2</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First standing after short bed-edge sitting; morning after night surgery</w:t>
            </w:r>
          </w:p>
        </w:tc>
        <w:tc>
          <w:tcPr>
            <w:tcW w:type="dxa" w:w="21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Normal vital signs, bleeding and leg movement; woman's stated readiness; wish to see baby; long labour</w:t>
            </w:r>
          </w:p>
        </w:tc>
        <w:tc>
          <w:tcPr>
            <w:tcW w:type="dxa" w:w="19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t>
            </w:r>
          </w:p>
        </w:tc>
        <w:tc>
          <w:tcPr>
            <w:tcW w:type="dxa" w:w="14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Paused or stopped (near-faint on standing)</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Dizziness, pallor, low blood pressure</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Initially the woman's willingness together with reassuring signs; then observed signs on standing</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Reason documented; doctor informed and fluids increased; retry planned after lunch</w:t>
            </w:r>
          </w:p>
        </w:tc>
      </w:tr>
      <w:tr>
        <w:trPr>
          <w:cantSplit/>
          <w:tblHeader w:val="false"/>
        </w:trPr>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N01-E05</w:t>
            </w:r>
          </w:p>
        </w:tc>
        <w:tc>
          <w:tcPr>
            <w:tcW w:type="dxa" w:w="7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L2</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Standing and walking to bathroom; same day, after lunch</w:t>
            </w:r>
          </w:p>
        </w:tc>
        <w:tc>
          <w:tcPr>
            <w:tcW w:type="dxa" w:w="21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Fluids and analgesia given; longer sitting</w:t>
            </w:r>
          </w:p>
        </w:tc>
        <w:tc>
          <w:tcPr>
            <w:tcW w:type="dxa" w:w="192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Woman told the episode was common and not her fault</w:t>
            </w:r>
          </w:p>
        </w:tc>
        <w:tc>
          <w:tcPr>
            <w:tcW w:type="dxa" w:w="14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Adapted (longer sitting, slower sit-to-stand)</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Previous near-faint</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Nurse's reappraisal informed by documented reason</w:t>
            </w:r>
          </w:p>
        </w:tc>
        <w:tc>
          <w:tcPr>
            <w:tcW w:type="dxa" w:w="16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Completed</w:t>
            </w:r>
          </w:p>
        </w:tc>
      </w:tr>
    </w:tbl>
    <w:p>
      <w:pPr>
        <w:spacing w:after="60"/>
      </w:pPr>
    </w:p>
    <w:p>
      <w:pPr>
        <w:spacing w:after="240" w:line="276"/>
      </w:pPr>
      <w:r>
        <w:rPr>
          <w:i/>
          <w:iCs/>
          <w:sz w:val="19"/>
          <w:szCs w:val="19"/>
        </w:rPr>
        <w:t xml:space="preserve">Note.</w:t>
      </w:r>
      <w:r>
        <w:rPr>
          <w:sz w:val="19"/>
          <w:szCs w:val="19"/>
        </w:rPr>
        <w:t xml:space="preserve"> N01's account contributed six episodes in total; E04–E05 are shown here. Line 68 is a general description of practice and was coded as contextual material, not as an episode.</w:t>
      </w:r>
    </w:p>
    <w:p>
      <w:r>
        <w:br w:type="page"/>
      </w:r>
    </w:p>
    <w:p>
      <w:pPr>
        <w:pStyle w:val="Heading1"/>
        <w:keepNext/>
      </w:pPr>
      <w:r>
        <w:t xml:space="preserve">S4.4 From episodes to subthemes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817"/>
        <w:gridCol w:w="3969"/>
        <w:gridCol w:w="4611"/>
        <w:gridCol w:w="2561"/>
      </w:tblGrid>
      <w:tr>
        <w:trPr>
          <w:cantSplit w:val="false"/>
          <w:tblHeader/>
        </w:trPr>
        <w:tc>
          <w:tcPr>
            <w:tcW w:type="dxa" w:w="2817"/>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Episodes</w:t>
            </w:r>
          </w:p>
        </w:tc>
        <w:tc>
          <w:tcPr>
            <w:tcW w:type="dxa" w:w="3969"/>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Compared with</w:t>
            </w:r>
          </w:p>
        </w:tc>
        <w:tc>
          <w:tcPr>
            <w:tcW w:type="dxa" w:w="461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Interpretive move</w:t>
            </w:r>
          </w:p>
        </w:tc>
        <w:tc>
          <w:tcPr>
            <w:tcW w:type="dxa" w:w="256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Subtheme</w:t>
            </w:r>
          </w:p>
        </w:tc>
      </w:tr>
      <w:tr>
        <w:trPr>
          <w:cantSplit/>
          <w:tblHeader w:val="false"/>
        </w:trPr>
        <w:tc>
          <w:tcPr>
            <w:tcW w:type="dxa" w:w="28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W10-E01</w:t>
            </w:r>
          </w:p>
        </w:tc>
        <w:tc>
          <w:tcPr>
            <w:tcW w:type="dxa" w:w="39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W02, W05, W12 (women's specific concerns); N07 and N03 (nurses' readings of reluctance)</w:t>
            </w:r>
          </w:p>
        </w:tc>
        <w:tc>
          <w:tcPr>
            <w:tcW w:type="dxa" w:w="46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Reluctance labelled as fear by others had specific bodily referents; whether they were drawn out depended on the question asked</w:t>
            </w:r>
          </w:p>
        </w:tc>
        <w:tc>
          <w:tcPr>
            <w:tcW w:type="dxa" w:w="25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3.2.2 Reading reluctance</w:t>
            </w:r>
          </w:p>
        </w:tc>
      </w:tr>
      <w:tr>
        <w:trPr>
          <w:cantSplit/>
          <w:tblHeader w:val="false"/>
        </w:trPr>
        <w:tc>
          <w:tcPr>
            <w:tcW w:type="dxa" w:w="28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W10-E01, W10-E02</w:t>
            </w:r>
          </w:p>
        </w:tc>
        <w:tc>
          <w:tcPr>
            <w:tcW w:type="dxa" w:w="39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W02 (dizziness counted, tiredness did not); N11 (structured questions); N08 (clinical thresholds)</w:t>
            </w:r>
          </w:p>
        </w:tc>
        <w:tc>
          <w:tcPr>
            <w:tcW w:type="dxa" w:w="46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 woman's report carried weight when it could be linked to an observable sign; explanation changed her own appraisal</w:t>
            </w:r>
          </w:p>
        </w:tc>
        <w:tc>
          <w:tcPr>
            <w:tcW w:type="dxa" w:w="25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3.3.1 Making "not yet" count</w:t>
            </w:r>
          </w:p>
        </w:tc>
      </w:tr>
      <w:tr>
        <w:trPr>
          <w:cantSplit/>
          <w:tblHeader w:val="false"/>
        </w:trPr>
        <w:tc>
          <w:tcPr>
            <w:tcW w:type="dxa" w:w="28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W10-E04, W10-E05</w:t>
            </w:r>
          </w:p>
        </w:tc>
        <w:tc>
          <w:tcPr>
            <w:tcW w:type="dxa" w:w="39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N04 (handover records only that mobilisation occurred); N11 (fuller notes); N10 (night)</w:t>
            </w:r>
          </w:p>
        </w:tc>
        <w:tc>
          <w:tcPr>
            <w:tcW w:type="dxa" w:w="46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Reasons for pauses were not reliably carried across shifts; some women became carriers of their own history</w:t>
            </w:r>
          </w:p>
        </w:tc>
        <w:tc>
          <w:tcPr>
            <w:tcW w:type="dxa" w:w="25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3.4.2 Carrying readiness forward</w:t>
            </w:r>
          </w:p>
        </w:tc>
      </w:tr>
      <w:tr>
        <w:trPr>
          <w:cantSplit/>
          <w:tblHeader w:val="false"/>
        </w:trPr>
        <w:tc>
          <w:tcPr>
            <w:tcW w:type="dxa" w:w="28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N01-E04, N01-E05</w:t>
            </w:r>
          </w:p>
        </w:tc>
        <w:tc>
          <w:tcPr>
            <w:tcW w:type="dxa" w:w="39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W15 (pause recast as a step); W01 (pause without a named plan); P05 (earlier stops as information)</w:t>
            </w:r>
          </w:p>
        </w:tc>
        <w:tc>
          <w:tcPr>
            <w:tcW w:type="dxa" w:w="46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 pause supported reconsideration when its reason was recorded, explained and tied to a next step</w:t>
            </w:r>
          </w:p>
        </w:tc>
        <w:tc>
          <w:tcPr>
            <w:tcW w:type="dxa" w:w="25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3.4.1 Pauses as information</w:t>
            </w:r>
          </w:p>
        </w:tc>
      </w:tr>
      <w:tr>
        <w:trPr>
          <w:cantSplit/>
          <w:tblHeader w:val="false"/>
        </w:trPr>
        <w:tc>
          <w:tcPr>
            <w:tcW w:type="dxa" w:w="28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Across accounts</w:t>
            </w:r>
          </w:p>
        </w:tc>
        <w:tc>
          <w:tcPr>
            <w:tcW w:type="dxa" w:w="39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External review of the matrix (meeting 9)</w:t>
            </w:r>
          </w:p>
        </w:tc>
        <w:tc>
          <w:tcPr>
            <w:tcW w:type="dxa" w:w="46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The column "appraisal described as influencing action" was separated from "appraisal contributors"</w:t>
            </w:r>
          </w:p>
        </w:tc>
        <w:tc>
          <w:tcPr>
            <w:tcW w:type="dxa" w:w="256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3.6 Revised framework (Figure 2)</w:t>
            </w:r>
          </w:p>
        </w:tc>
      </w:tr>
    </w:tbl>
    <w:p>
      <w:pPr>
        <w:spacing w:after="60"/>
      </w:pPr>
    </w:p>
    <w:p>
      <w:pPr>
        <w:spacing w:after="240" w:line="276"/>
      </w:pPr>
      <w:r>
        <w:rPr>
          <w:i/>
          <w:iCs/>
          <w:sz w:val="19"/>
          <w:szCs w:val="19"/>
        </w:rPr>
        <w:t xml:space="preserve">Note.</w:t>
      </w:r>
      <w:r>
        <w:rPr>
          <w:sz w:val="19"/>
          <w:szCs w:val="19"/>
        </w:rPr>
        <w:t xml:space="preserve"> Cross-group comparisons concern independently reported experiences. W10's and N01's accounts do not describe the same encounter and are not used to corroborate each other.</w:t>
      </w:r>
    </w:p>
    <w:p>
      <w:pPr>
        <w:pStyle w:val="Heading1"/>
        <w:keepNext/>
      </w:pPr>
      <w:r>
        <w:t xml:space="preserve">S4.5 Analytic memos that changed the analysis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093"/>
        <w:gridCol w:w="2093"/>
        <w:gridCol w:w="6981"/>
        <w:gridCol w:w="2791"/>
      </w:tblGrid>
      <w:tr>
        <w:trPr>
          <w:cantSplit w:val="false"/>
          <w:tblHeader/>
        </w:trPr>
        <w:tc>
          <w:tcPr>
            <w:tcW w:type="dxa" w:w="2093"/>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Memo</w:t>
            </w:r>
          </w:p>
        </w:tc>
        <w:tc>
          <w:tcPr>
            <w:tcW w:type="dxa" w:w="2093"/>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Date</w:t>
            </w:r>
          </w:p>
        </w:tc>
        <w:tc>
          <w:tcPr>
            <w:tcW w:type="dxa" w:w="698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Content (summary)</w:t>
            </w:r>
          </w:p>
        </w:tc>
        <w:tc>
          <w:tcPr>
            <w:tcW w:type="dxa" w:w="279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Consequence</w:t>
            </w:r>
          </w:p>
        </w:tc>
      </w:tr>
      <w:tr>
        <w:trPr>
          <w:cantSplit/>
          <w:tblHeader w:val="false"/>
        </w:trPr>
        <w:tc>
          <w:tcPr>
            <w:tcW w:type="dxa" w:w="20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M-17</w:t>
            </w:r>
          </w:p>
        </w:tc>
        <w:tc>
          <w:tcPr>
            <w:tcW w:type="dxa" w:w="20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May 2026</w:t>
            </w:r>
          </w:p>
        </w:tc>
        <w:tc>
          <w:tcPr>
            <w:tcW w:type="dxa" w:w="69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"Fear" is being used to code very different things. W10 names bleeding; W02 names dizziness; W05 names exhaustion after labour; N07 describes asking "what exactly?". Coding these as fear repeats the professional label we are trying to examine</w:t>
            </w:r>
          </w:p>
        </w:tc>
        <w:tc>
          <w:tcPr>
            <w:tcW w:type="dxa" w:w="27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Umbrella code "fear" discontinued at meeting 4; segments recoded as specific concerns or as "professional reading of reluctance as fear"; reflexive journal entry on the researchers' own assumption</w:t>
            </w:r>
          </w:p>
        </w:tc>
      </w:tr>
      <w:tr>
        <w:trPr>
          <w:cantSplit/>
          <w:tblHeader w:val="false"/>
        </w:trPr>
        <w:tc>
          <w:tcPr>
            <w:tcW w:type="dxa" w:w="20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M-26</w:t>
            </w:r>
          </w:p>
        </w:tc>
        <w:tc>
          <w:tcPr>
            <w:tcW w:type="dxa" w:w="20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June 2026</w:t>
            </w:r>
          </w:p>
        </w:tc>
        <w:tc>
          <w:tcPr>
            <w:tcW w:type="dxa" w:w="69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Physiotherapists describe frequent advice given to nurses outside referrals. Our assumption that physiotherapy is under-used counts only formal referrals</w:t>
            </w:r>
          </w:p>
        </w:tc>
        <w:tc>
          <w:tcPr>
            <w:tcW w:type="dxa" w:w="27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Assumption revised at meeting 6; code "informal physiotherapy advice" created; professional guides already included prompt D5</w:t>
            </w:r>
          </w:p>
        </w:tc>
      </w:tr>
      <w:tr>
        <w:trPr>
          <w:cantSplit/>
          <w:tblHeader w:val="false"/>
        </w:trPr>
        <w:tc>
          <w:tcPr>
            <w:tcW w:type="dxa" w:w="20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M-33</w:t>
            </w:r>
          </w:p>
        </w:tc>
        <w:tc>
          <w:tcPr>
            <w:tcW w:type="dxa" w:w="20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July 2026</w:t>
            </w:r>
          </w:p>
        </w:tc>
        <w:tc>
          <w:tcPr>
            <w:tcW w:type="dxa" w:w="69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Advisory group discussion of anonymised preliminary summaries highlighted female relatives' role. Re-reading women's accounts shows relatives both supporting and speaking for women</w:t>
            </w:r>
          </w:p>
        </w:tc>
        <w:tc>
          <w:tcPr>
            <w:tcW w:type="dxa" w:w="27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Closer attention to relatives in coding and comparison (meeting 7); companion speech remained excluded</w:t>
            </w:r>
          </w:p>
        </w:tc>
      </w:tr>
      <w:tr>
        <w:trPr>
          <w:cantSplit/>
          <w:tblHeader w:val="false"/>
        </w:trPr>
        <w:tc>
          <w:tcPr>
            <w:tcW w:type="dxa" w:w="20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M-41</w:t>
            </w:r>
          </w:p>
        </w:tc>
        <w:tc>
          <w:tcPr>
            <w:tcW w:type="dxa" w:w="20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August 2026</w:t>
            </w:r>
          </w:p>
        </w:tc>
        <w:tc>
          <w:tcPr>
            <w:tcW w:type="dxa" w:w="69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External reviewer: the matrix mixes what informed an appraisal with what participants said shaped the action</w:t>
            </w:r>
          </w:p>
        </w:tc>
        <w:tc>
          <w:tcPr>
            <w:tcW w:type="dxa" w:w="27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New matrix column "appraisal described as influencing action"; all episodes re-reviewed (meeting 9)</w:t>
            </w:r>
          </w:p>
        </w:tc>
      </w:tr>
      <w:tr>
        <w:trPr>
          <w:cantSplit/>
          <w:tblHeader w:val="false"/>
        </w:trPr>
        <w:tc>
          <w:tcPr>
            <w:tcW w:type="dxa" w:w="20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M-48</w:t>
            </w:r>
          </w:p>
        </w:tc>
        <w:tc>
          <w:tcPr>
            <w:tcW w:type="dxa" w:w="209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September 2026</w:t>
            </w:r>
          </w:p>
        </w:tc>
        <w:tc>
          <w:tcPr>
            <w:tcW w:type="dxa" w:w="698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Figure 1 lacks the conditions that made women's appraisals count (specificity, invitation, language, relatives) and the route by which reasons were carried forward</w:t>
            </w:r>
          </w:p>
        </w:tc>
        <w:tc>
          <w:tcPr>
            <w:tcW w:type="dxa" w:w="27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Figure 1 revised to Figure 2 (meeting 11; Section 3.6)</w:t>
            </w:r>
          </w:p>
        </w:tc>
      </w:tr>
    </w:tbl>
    <w:p>
      <w:pPr>
        <w:spacing w:after="60"/>
      </w:pPr>
    </w:p>
    <w:p>
      <w:r>
        <w:br w:type="page"/>
      </w:r>
    </w:p>
    <w:p>
      <w:pPr>
        <w:pStyle w:val="Heading1"/>
        <w:keepNext/>
      </w:pPr>
      <w:r>
        <w:t xml:space="preserve">S4.6 Record of analytic meetings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256"/>
        <w:gridCol w:w="2233"/>
        <w:gridCol w:w="10469"/>
      </w:tblGrid>
      <w:tr>
        <w:trPr>
          <w:cantSplit w:val="false"/>
          <w:tblHeader/>
        </w:trPr>
        <w:tc>
          <w:tcPr>
            <w:tcW w:type="dxa" w:w="125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Meeting</w:t>
            </w:r>
          </w:p>
        </w:tc>
        <w:tc>
          <w:tcPr>
            <w:tcW w:type="dxa" w:w="2233"/>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Date</w:t>
            </w:r>
          </w:p>
        </w:tc>
        <w:tc>
          <w:tcPr>
            <w:tcW w:type="dxa" w:w="10469"/>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Focus and decisions</w:t>
            </w:r>
          </w:p>
        </w:tc>
      </w:tr>
      <w:tr>
        <w:trPr>
          <w:cantSplit/>
          <w:tblHeader w:val="false"/>
        </w:trPr>
        <w:tc>
          <w:tcPr>
            <w:tcW w:type="dxa" w:w="1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1</w:t>
            </w:r>
          </w:p>
        </w:tc>
        <w:tc>
          <w:tcPr>
            <w:tcW w:type="dxa" w:w="22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April 2026</w:t>
            </w:r>
          </w:p>
        </w:tc>
        <w:tc>
          <w:tcPr>
            <w:tcW w:type="dxa" w:w="10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Pilot interviews (W01, N01) reviewed; guide version 1.1 agreed; draft episode definition</w:t>
            </w:r>
          </w:p>
        </w:tc>
      </w:tr>
      <w:tr>
        <w:trPr>
          <w:cantSplit/>
          <w:tblHeader w:val="false"/>
        </w:trPr>
        <w:tc>
          <w:tcPr>
            <w:tcW w:type="dxa" w:w="1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w:t>
            </w:r>
          </w:p>
        </w:tc>
        <w:tc>
          <w:tcPr>
            <w:tcW w:type="dxa" w:w="22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April 2026</w:t>
            </w:r>
          </w:p>
        </w:tc>
        <w:tc>
          <w:tcPr>
            <w:tcW w:type="dxa" w:w="10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Episode boundaries tested on four transcripts; linked-episode and temporary-pause rules agreed</w:t>
            </w:r>
          </w:p>
        </w:tc>
      </w:tr>
      <w:tr>
        <w:trPr>
          <w:cantSplit/>
          <w:tblHeader w:val="false"/>
        </w:trPr>
        <w:tc>
          <w:tcPr>
            <w:tcW w:type="dxa" w:w="1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3</w:t>
            </w:r>
          </w:p>
        </w:tc>
        <w:tc>
          <w:tcPr>
            <w:tcW w:type="dxa" w:w="22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May 2026</w:t>
            </w:r>
          </w:p>
        </w:tc>
        <w:tc>
          <w:tcPr>
            <w:tcW w:type="dxa" w:w="10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Early comparison across groups; gaps identified in night and out-of-hours accounts and in differing appraisals</w:t>
            </w:r>
          </w:p>
        </w:tc>
      </w:tr>
      <w:tr>
        <w:trPr>
          <w:cantSplit/>
          <w:tblHeader w:val="false"/>
        </w:trPr>
        <w:tc>
          <w:tcPr>
            <w:tcW w:type="dxa" w:w="1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w:t>
            </w:r>
          </w:p>
        </w:tc>
        <w:tc>
          <w:tcPr>
            <w:tcW w:type="dxa" w:w="22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May 2026</w:t>
            </w:r>
          </w:p>
        </w:tc>
        <w:tc>
          <w:tcPr>
            <w:tcW w:type="dxa" w:w="10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"Fear" umbrella code discontinued (memo M-17); guide version 1.2 changes agreed</w:t>
            </w:r>
          </w:p>
        </w:tc>
      </w:tr>
      <w:tr>
        <w:trPr>
          <w:cantSplit/>
          <w:tblHeader w:val="false"/>
        </w:trPr>
        <w:tc>
          <w:tcPr>
            <w:tcW w:type="dxa" w:w="1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5</w:t>
            </w:r>
          </w:p>
        </w:tc>
        <w:tc>
          <w:tcPr>
            <w:tcW w:type="dxa" w:w="22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June 2026</w:t>
            </w:r>
          </w:p>
        </w:tc>
        <w:tc>
          <w:tcPr>
            <w:tcW w:type="dxa" w:w="10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Sampling reviewed; recruitment directed towards women with general anaesthesia or mobilisation after 24 hours, private-site participants and night-shift nurses</w:t>
            </w:r>
          </w:p>
        </w:tc>
      </w:tr>
      <w:tr>
        <w:trPr>
          <w:cantSplit/>
          <w:tblHeader w:val="false"/>
        </w:trPr>
        <w:tc>
          <w:tcPr>
            <w:tcW w:type="dxa" w:w="1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6</w:t>
            </w:r>
          </w:p>
        </w:tc>
        <w:tc>
          <w:tcPr>
            <w:tcW w:type="dxa" w:w="22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June 2026</w:t>
            </w:r>
          </w:p>
        </w:tc>
        <w:tc>
          <w:tcPr>
            <w:tcW w:type="dxa" w:w="10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Informal physiotherapy advice; assumption of under-use revised (memo M-26)</w:t>
            </w:r>
          </w:p>
        </w:tc>
      </w:tr>
      <w:tr>
        <w:trPr>
          <w:cantSplit/>
          <w:tblHeader w:val="false"/>
        </w:trPr>
        <w:tc>
          <w:tcPr>
            <w:tcW w:type="dxa" w:w="1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7</w:t>
            </w:r>
          </w:p>
        </w:tc>
        <w:tc>
          <w:tcPr>
            <w:tcW w:type="dxa" w:w="22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July 2026</w:t>
            </w:r>
          </w:p>
        </w:tc>
        <w:tc>
          <w:tcPr>
            <w:tcW w:type="dxa" w:w="10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Relatives' influence after advisory group discussion (memo M-33)</w:t>
            </w:r>
          </w:p>
        </w:tc>
      </w:tr>
      <w:tr>
        <w:trPr>
          <w:cantSplit/>
          <w:tblHeader w:val="false"/>
        </w:trPr>
        <w:tc>
          <w:tcPr>
            <w:tcW w:type="dxa" w:w="1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8</w:t>
            </w:r>
          </w:p>
        </w:tc>
        <w:tc>
          <w:tcPr>
            <w:tcW w:type="dxa" w:w="22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July 2026</w:t>
            </w:r>
          </w:p>
        </w:tc>
        <w:tc>
          <w:tcPr>
            <w:tcW w:type="dxa" w:w="10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Language mediation and nurse–woman communication across languages compared</w:t>
            </w:r>
          </w:p>
        </w:tc>
      </w:tr>
      <w:tr>
        <w:trPr>
          <w:cantSplit/>
          <w:tblHeader w:val="false"/>
        </w:trPr>
        <w:tc>
          <w:tcPr>
            <w:tcW w:type="dxa" w:w="1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9</w:t>
            </w:r>
          </w:p>
        </w:tc>
        <w:tc>
          <w:tcPr>
            <w:tcW w:type="dxa" w:w="22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August 2026</w:t>
            </w:r>
          </w:p>
        </w:tc>
        <w:tc>
          <w:tcPr>
            <w:tcW w:type="dxa" w:w="10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External reviewer feedback; matrix revised (memo M-41)</w:t>
            </w:r>
          </w:p>
        </w:tc>
      </w:tr>
      <w:tr>
        <w:trPr>
          <w:cantSplit/>
          <w:tblHeader w:val="false"/>
        </w:trPr>
        <w:tc>
          <w:tcPr>
            <w:tcW w:type="dxa" w:w="1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10</w:t>
            </w:r>
          </w:p>
        </w:tc>
        <w:tc>
          <w:tcPr>
            <w:tcW w:type="dxa" w:w="22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September 2026</w:t>
            </w:r>
          </w:p>
        </w:tc>
        <w:tc>
          <w:tcPr>
            <w:tcW w:type="dxa" w:w="10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Information power assessed; coverage of first out-of-bed mobilisation, progression, reassessment and referral reviewed; recruitment closed</w:t>
            </w:r>
          </w:p>
        </w:tc>
      </w:tr>
      <w:tr>
        <w:trPr>
          <w:cantSplit/>
          <w:tblHeader w:val="false"/>
        </w:trPr>
        <w:tc>
          <w:tcPr>
            <w:tcW w:type="dxa" w:w="12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11</w:t>
            </w:r>
          </w:p>
        </w:tc>
        <w:tc>
          <w:tcPr>
            <w:tcW w:type="dxa" w:w="22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September 2026</w:t>
            </w:r>
          </w:p>
        </w:tc>
        <w:tc>
          <w:tcPr>
            <w:tcW w:type="dxa" w:w="104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Theme structure finalised; Figure 1 revisited and revised as Figure 2 (memo M-48)</w:t>
            </w:r>
          </w:p>
        </w:tc>
      </w:tr>
    </w:tbl>
    <w:p>
      <w:pPr>
        <w:spacing w:after="60"/>
      </w:pPr>
    </w:p>
    <w:p>
      <w:pPr>
        <w:pStyle w:val="Heading1"/>
        <w:keepNext/>
      </w:pPr>
      <w:r>
        <w:t xml:space="preserve">S4.7 Episodes across accounts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101"/>
        <w:gridCol w:w="9307"/>
        <w:gridCol w:w="1550"/>
      </w:tblGrid>
      <w:tr>
        <w:trPr>
          <w:cantSplit w:val="false"/>
          <w:tblHeader/>
        </w:trPr>
        <w:tc>
          <w:tcPr>
            <w:tcW w:type="dxa" w:w="310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Group</w:t>
            </w:r>
          </w:p>
        </w:tc>
        <w:tc>
          <w:tcPr>
            <w:tcW w:type="dxa" w:w="9307"/>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Episodes per account</w:t>
            </w:r>
          </w:p>
        </w:tc>
        <w:tc>
          <w:tcPr>
            <w:tcW w:type="dxa" w:w="155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Total</w:t>
            </w:r>
          </w:p>
        </w:tc>
      </w:tr>
      <w:tr>
        <w:trPr>
          <w:cantSplit/>
          <w:tblHeader w:val="false"/>
        </w:trPr>
        <w:tc>
          <w:tcPr>
            <w:tcW w:type="dxa" w:w="3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Women</w:t>
            </w:r>
          </w:p>
        </w:tc>
        <w:tc>
          <w:tcPr>
            <w:tcW w:type="dxa" w:w="93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W01 4; W02 3; W03 4; W04 4; W05 4; W06 3; W07 4; W08 4; W09 3; W10 5; W11 3; W12 5; W13 4; W14 4; W15 5; W16 4; W17 3; W18 5</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71</w:t>
            </w:r>
          </w:p>
        </w:tc>
      </w:tr>
      <w:tr>
        <w:trPr>
          <w:cantSplit/>
          <w:tblHeader w:val="false"/>
        </w:trPr>
        <w:tc>
          <w:tcPr>
            <w:tcW w:type="dxa" w:w="3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Maternity nurses</w:t>
            </w:r>
          </w:p>
        </w:tc>
        <w:tc>
          <w:tcPr>
            <w:tcW w:type="dxa" w:w="93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N01 6; N02 5; N03 6; N04 5; N05 4; N06 6; N07 5; N08 4; N09 5; N10 6; N11 7; N12 4</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63</w:t>
            </w:r>
          </w:p>
        </w:tc>
      </w:tr>
      <w:tr>
        <w:trPr>
          <w:cantSplit/>
          <w:tblHeader w:val="false"/>
        </w:trPr>
        <w:tc>
          <w:tcPr>
            <w:tcW w:type="dxa" w:w="3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Physiotherapists</w:t>
            </w:r>
          </w:p>
        </w:tc>
        <w:tc>
          <w:tcPr>
            <w:tcW w:type="dxa" w:w="93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P01 5; P02 4; P03 6; P04 4; P05 4; P06 4; P07 3</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30</w:t>
            </w:r>
          </w:p>
        </w:tc>
      </w:tr>
      <w:tr>
        <w:trPr>
          <w:cantSplit/>
          <w:tblHeader w:val="false"/>
        </w:trPr>
        <w:tc>
          <w:tcPr>
            <w:tcW w:type="dxa" w:w="3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b/>
                <w:bCs/>
                <w:sz w:val="19"/>
                <w:szCs w:val="19"/>
              </w:rPr>
              <w:t xml:space="preserve">All accounts</w:t>
            </w:r>
          </w:p>
        </w:tc>
        <w:tc>
          <w:tcPr>
            <w:tcW w:type="dxa" w:w="93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b/>
                <w:bCs/>
                <w:sz w:val="19"/>
                <w:szCs w:val="19"/>
              </w:rPr>
              <w:t xml:space="preserve">164</w:t>
            </w:r>
          </w:p>
        </w:tc>
      </w:tr>
    </w:tbl>
    <w:p>
      <w:pPr>
        <w:spacing w:after="60"/>
      </w:pPr>
    </w:p>
    <w:p>
      <w:pPr>
        <w:spacing w:after="240" w:line="276"/>
      </w:pPr>
      <w:r>
        <w:rPr>
          <w:i/>
          <w:iCs/>
          <w:sz w:val="19"/>
          <w:szCs w:val="19"/>
        </w:rPr>
        <w:t xml:space="preserve">Note.</w:t>
      </w:r>
      <w:r>
        <w:rPr>
          <w:sz w:val="19"/>
          <w:szCs w:val="19"/>
        </w:rPr>
        <w:t xml:space="preserve"> Professionals' episodes come from the most recent detailed episode and one difficult episode, each of which could generate linked episodes. General descriptions of practice and insufficiently specified older recollections were kept as contextual material and are not counted. Totals match Section 2.6 and Table 5. Counts describe analytic scope, not prevalence.</w:t>
      </w:r>
    </w:p>
    <w:sectPr>
      <w:headerReference w:type="default" r:id="rId7"/>
      <w:footerReference w:type="default" r:id="rId8"/>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B03A2E"/>
        <w:sz w:val="16"/>
        <w:szCs w:val="16"/>
      </w:rPr>
      <w:t xml:space="preserve">SIMULATED DATA — EDUCATIONAL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File S4. Analytic trace: from anonymised extract to episode summaries and interpretation</dc:title>
  <dc:creator>Educational simulation</dc:creator>
  <cp:lastModifiedBy>Un-named</cp:lastModifiedBy>
  <cp:revision>1</cp:revision>
  <dcterms:created xsi:type="dcterms:W3CDTF">2026-10-07T21:39:55.649Z</dcterms:created>
  <dcterms:modified xsi:type="dcterms:W3CDTF">2026-10-07T21:39:55.649Z</dcterms:modified>
</cp:coreProperties>
</file>

<file path=docProps/custom.xml><?xml version="1.0" encoding="utf-8"?>
<Properties xmlns="http://schemas.openxmlformats.org/officeDocument/2006/custom-properties" xmlns:vt="http://schemas.openxmlformats.org/officeDocument/2006/docPropsVTypes"/>
</file>