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Supplementary File S5. GRIPP2 short form: patient and public involvement</w:t>
      </w:r>
    </w:p>
    <w:p>
      <w:pPr>
        <w:pBdr>
          <w:top w:val="single" w:color="B03A2E" w:sz="8" w:space="4"/>
          <w:bottom w:val="single" w:color="B03A2E" w:sz="8" w:space="4"/>
          <w:left w:val="single" w:color="B03A2E" w:sz="8" w:space="4"/>
          <w:right w:val="single" w:color="B03A2E" w:sz="8" w:space="4"/>
        </w:pBdr>
        <w:shd w:fill="FDECEA" w:color="auto" w:val="clear"/>
        <w:spacing w:after="240" w:line="300"/>
      </w:pPr>
      <w:r>
        <w:rPr>
          <w:b/>
          <w:bCs/>
        </w:rPr>
        <w:t xml:space="preserve">Simulation notice.</w:t>
      </w:r>
      <w:r>
        <w:t xml:space="preserve"> This GRIPP2 report belongs to an educational simulation. The advisory group and its activities are invented for teaching.</w:t>
      </w:r>
    </w:p>
    <w:p>
      <w:pPr>
        <w:spacing w:after="160" w:line="360"/>
        <w:jc w:val="both"/>
      </w:pPr>
      <w:r>
        <w:t xml:space="preserve">Reported using the GRIPP2 short form (Staniszewska et al., 2017). See Section 2.9 of the manuscript.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cantSplit w:val="false"/>
          <w:tblHeader/>
        </w:trPr>
        <w:tc>
          <w:tcPr>
            <w:tcW w:type="dxa" w:w="1985"/>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Section and topic</w:t>
            </w:r>
          </w:p>
        </w:tc>
        <w:tc>
          <w:tcPr>
            <w:tcW w:type="dxa" w:w="704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Item</w:t>
            </w:r>
          </w:p>
        </w:tc>
      </w:tr>
      <w:tr>
        <w:trPr>
          <w:cantSplit/>
          <w:tblHeader w:val="false"/>
        </w:trPr>
        <w:tc>
          <w:tcPr>
            <w:tcW w:type="dxa" w:w="19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b/>
                <w:bCs/>
                <w:sz w:val="19"/>
                <w:szCs w:val="19"/>
              </w:rPr>
              <w:t xml:space="preserve">1. Aim</w:t>
            </w:r>
          </w:p>
        </w:tc>
        <w:tc>
          <w:tcPr>
            <w:tcW w:type="dxa" w:w="70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To ensure that the study's question, information materials and women's interview guide reflected the concerns and language of women who had experienced emergency caesarean birth, and that the interpretation was sensitive to the family context of postnatal recovery</w:t>
            </w:r>
          </w:p>
        </w:tc>
      </w:tr>
      <w:tr>
        <w:trPr>
          <w:cantSplit w:val="false"/>
          <w:tblHeader w:val="false"/>
        </w:trPr>
        <w:tc>
          <w:tcPr>
            <w:tcW w:type="dxa" w:w="19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b/>
                <w:bCs/>
                <w:sz w:val="19"/>
                <w:szCs w:val="19"/>
              </w:rPr>
              <w:t xml:space="preserve">2. Methods</w:t>
            </w:r>
          </w:p>
        </w:tc>
        <w:tc>
          <w:tcPr>
            <w:tcW w:type="dxa" w:w="70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Four women with previous emergency caesarean experience, none of them study participants, formed an advisory group. They were recruited through a university-affiliated community maternal health programme and reimbursed for time and travel. The group met three times: November 2025 (research question and participant information materials), December 2025 (women's interview guide and interview arrangements), both before protocol version 2.0 was finalised on 10 January 2026, and July 2026 (anonymised preliminary summaries). Advisers did not view transcripts, conduct interviews or code data</w:t>
            </w:r>
          </w:p>
        </w:tc>
      </w:tr>
      <w:tr>
        <w:trPr>
          <w:cantSplit/>
          <w:tblHeader w:val="false"/>
        </w:trPr>
        <w:tc>
          <w:tcPr>
            <w:tcW w:type="dxa" w:w="19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b/>
                <w:bCs/>
                <w:sz w:val="19"/>
                <w:szCs w:val="19"/>
              </w:rPr>
              <w:t xml:space="preserve">3. Results</w:t>
            </w:r>
          </w:p>
        </w:tc>
        <w:tc>
          <w:tcPr>
            <w:tcW w:type="dxa" w:w="70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Advisers proposed everyday Arabic terms for movement and anaesthesia in place of technical language (Supplementary File S1, Part E); prompts on newborn care and feeding; flexible interview timing around feeds and rest; and a remote interview option after discharge. These changes were included in guide version 1.0. Their discussion of preliminary summaries prompted closer attention to female relatives' influence on women's mobilisation (memo M-33, Supplementary File S4), which informed subtheme 3.3.3</w:t>
            </w:r>
          </w:p>
        </w:tc>
      </w:tr>
      <w:tr>
        <w:trPr>
          <w:cantSplit/>
          <w:tblHeader w:val="false"/>
        </w:trPr>
        <w:tc>
          <w:tcPr>
            <w:tcW w:type="dxa" w:w="19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b/>
                <w:bCs/>
                <w:sz w:val="19"/>
                <w:szCs w:val="19"/>
              </w:rPr>
              <w:t xml:space="preserve">4. Discussion and conclusions</w:t>
            </w:r>
          </w:p>
        </w:tc>
        <w:tc>
          <w:tcPr>
            <w:tcW w:type="dxa" w:w="70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Involvement shaped how women were asked about their experiences and drew attention to relatives as both support and mediators of women's voices. Advisers are helping to prepare a plain-language Arabic summary of the findings</w:t>
            </w:r>
          </w:p>
        </w:tc>
      </w:tr>
      <w:tr>
        <w:trPr>
          <w:cantSplit/>
          <w:tblHeader w:val="false"/>
        </w:trPr>
        <w:tc>
          <w:tcPr>
            <w:tcW w:type="dxa" w:w="19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b/>
                <w:bCs/>
                <w:sz w:val="19"/>
                <w:szCs w:val="19"/>
              </w:rPr>
              <w:t xml:space="preserve">5. Reflections and critical perspective</w:t>
            </w:r>
          </w:p>
        </w:tc>
        <w:tc>
          <w:tcPr>
            <w:tcW w:type="dxa" w:w="70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Involvement was limited to women; maternity nurses and physiotherapists were not represented in the advisory group. Advisers did not take part in analysis and saw only anonymised summaries, so their influence on interpretation was indirect. Advisers recruited through a university-affiliated programme may differ from women with less contact with health services</w:t>
            </w:r>
          </w:p>
        </w:tc>
      </w:tr>
    </w:tbl>
    <w:p>
      <w:pPr>
        <w:spacing w:after="60"/>
      </w:pPr>
    </w:p>
    <w:p>
      <w:pPr>
        <w:spacing w:after="240" w:line="276"/>
      </w:pPr>
      <w:r>
        <w:rPr>
          <w:i/>
          <w:iCs/>
          <w:sz w:val="19"/>
          <w:szCs w:val="19"/>
        </w:rPr>
        <w:t xml:space="preserve">Note.</w:t>
      </w:r>
      <w:r>
        <w:rPr>
          <w:sz w:val="19"/>
          <w:szCs w:val="19"/>
        </w:rPr>
        <w:t xml:space="preserve"> Staniszewska S, Brett J, Simera I, et al. GRIPP2 reporting checklists: tools to improve reporting of patient and public involvement in research. </w:t>
      </w:r>
      <w:r>
        <w:rPr>
          <w:i/>
          <w:iCs/>
          <w:sz w:val="19"/>
          <w:szCs w:val="19"/>
        </w:rPr>
        <w:t xml:space="preserve">BMJ</w:t>
      </w:r>
      <w:r>
        <w:rPr>
          <w:sz w:val="19"/>
          <w:szCs w:val="19"/>
        </w:rPr>
        <w:t xml:space="preserve"> 2017;358:j3453.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B03A2E"/>
        <w:sz w:val="16"/>
        <w:szCs w:val="16"/>
      </w:rPr>
      <w:t xml:space="preserve">SIMULATED DATA — EDUCATIONAL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File S5. GRIPP2 short form: patient and public involvement</dc:title>
  <dc:creator>Educational simulation</dc:creator>
  <cp:lastModifiedBy>Un-named</cp:lastModifiedBy>
  <cp:revision>1</cp:revision>
  <dcterms:created xsi:type="dcterms:W3CDTF">2026-10-07T21:39:55.290Z</dcterms:created>
  <dcterms:modified xsi:type="dcterms:W3CDTF">2026-10-07T21:39:55.290Z</dcterms:modified>
</cp:coreProperties>
</file>

<file path=docProps/custom.xml><?xml version="1.0" encoding="utf-8"?>
<Properties xmlns="http://schemas.openxmlformats.org/officeDocument/2006/custom-properties" xmlns:vt="http://schemas.openxmlformats.org/officeDocument/2006/docPropsVTypes"/>
</file>