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Supplementary Table S3. Site profiles: mobilisation guidance, professional responsibilities, referral arrangements and service availability</w:t>
      </w:r>
    </w:p>
    <w:p>
      <w:pPr>
        <w:pBdr>
          <w:top w:val="single" w:color="B03A2E" w:sz="8" w:space="4"/>
          <w:bottom w:val="single" w:color="B03A2E" w:sz="8" w:space="4"/>
          <w:left w:val="single" w:color="B03A2E" w:sz="8" w:space="4"/>
          <w:right w:val="single" w:color="B03A2E" w:sz="8" w:space="4"/>
        </w:pBdr>
        <w:shd w:fill="FDECEA" w:color="auto" w:val="clear"/>
        <w:spacing w:after="240" w:line="300"/>
      </w:pPr>
      <w:r>
        <w:rPr>
          <w:b/>
          <w:bCs/>
        </w:rPr>
        <w:t xml:space="preserve">Simulation notice.</w:t>
      </w:r>
      <w:r>
        <w:t xml:space="preserve"> These site profiles belong to an educational simulation. Hospitals, wards, documents and staffing figures are invented for teaching.</w:t>
      </w:r>
    </w:p>
    <w:p>
      <w:pPr>
        <w:spacing w:after="160" w:line="360"/>
        <w:jc w:val="both"/>
      </w:pPr>
      <w:r>
        <w:t xml:space="preserve">Profiles were compiled in February–March 2026, before interviewing began, from three sources: hospital policies and guidelines; site-description forms completed with ward nurse managers and physiotherapy leads; and recruitment-visit field notes (Section 2.2). Where written procedures and staff reports differed, both are shown and marked </w:t>
      </w:r>
      <w:r>
        <w:rPr>
          <w:i/>
          <w:iCs/>
        </w:rPr>
        <w:t xml:space="preserve">Written</w:t>
      </w:r>
      <w:r>
        <w:t xml:space="preserve"> and </w:t>
      </w:r>
      <w:r>
        <w:rPr>
          <w:i/>
          <w:iCs/>
        </w:rPr>
        <w:t xml:space="preserve">Reported</w:t>
      </w:r>
      <w:r>
        <w:t xml:space="preserve">. The profiles describe arrangements during the study period. They do not show that these arrangements were followed in every encounter, or that they applied to earlier episodes recalled by professionals.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3"/>
        <w:gridCol w:w="3889"/>
        <w:gridCol w:w="3888"/>
        <w:gridCol w:w="3888"/>
      </w:tblGrid>
      <w:tr>
        <w:trPr>
          <w:cantSplit w:val="false"/>
          <w:tblHeader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Hospital A (government; regional health cluster)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Hospital B (government; regional health cluster)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Hospital C (private; outside the cluster)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Governance and approval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Cluster site under IRB approval No. 9804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Cluster site under IRB approval No. 9804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Reliance arrangement IRB-REL-2026-004 cross-referenced to the cluster approval; separate administrative permission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Postnatal ward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 postnatal wards, about 40 beds; mainly multi-bed bays with some single rooms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postnatal ward, about 30 beds; mainly multi-bed bays with some single rooms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postnatal ward, about 20 beds; mainly single rooms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Pathway before the ward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24-hour emergency obstetric theatre; post-anaesthesia recovery before transfer to the ward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24-hour emergency obstetric theatre; post-anaesthesia recovery before transfer to the ward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24-hour emergency obstetric theatre; post-anaesthesia recovery before transfer to the ward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Midwives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Labour and delivery only; no routine postnatal ward care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Labour and delivery only; no routine postnatal ward care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Labour and delivery only; no routine postnatal ward care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Mobilisation guidance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Cluster post-caesarean care guideline (2024) and ward mobilisation procedure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Cluster post-caesarean care guideline (2024) and ward mobilisation procedure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Hospital post-caesarean care policy (2025)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Timing of first assisted out-of-bed mobilisation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within 12 hours of surgery when assessment criteria are met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within 12 hours of surgery when assessment criteria are met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"early mobilisation when clinically stable"; no time target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Nursing assessment before each activity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vital signs; pain score; dizziness; vaginal bleeding; wound; clinical attachments; after neuraxial anaesthesia, sensory recovery and motor recovery (modified Bromage score)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vital signs; pain score; dizziness; vaginal bleeding; wound; attachments; ability to lift and bend both legs after neuraxial anaesthesia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Staged assistance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Bed-edge sitting, then active transfer or standing, then walking; support adjusted to symptoms and assistance needs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Reassessment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each shift and when new symptoms arise.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more frequent checks during first attempts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Clinical attachments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urinary catheter removal considered 12–24 hours after surgery unless clinically indicated, by obstetric order; infusion stopped by obstetric order once oral intake is established; assisted mobilisation permitted with infusion and catheter in place.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some nurses deferred walking until attachments were removed, and removal often waited for the morning ward round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catheter and infusion removal by obstetrician order; no timing specified; mobilisation with attachments permitted with assistance.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as Hospital 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Documentation of mobilisation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Nursing flow sheet: "mobilised" tick box (yes / no) with optional free text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Electronic record: activity-level field (bed / chair / room / corridor) and free text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Shift handover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Verbal handover using a ward template; no mobilisation-specific field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Bedside handover; template includes activity level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Nurse staffing (nurse : women)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day 1:6, night 1:8.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night up to 1:12 when activity is high, with one health-care assistant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day 1:6, night 1:8.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night up to 1:10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 xml:space="preserve">Written:</w:t>
            </w:r>
            <w:r>
              <w:rPr>
                <w:sz w:val="19"/>
                <w:szCs w:val="19"/>
              </w:rPr>
              <w:t xml:space="preserve"> day 1:4, night 1:6. </w:t>
            </w:r>
            <w:r>
              <w:rPr>
                <w:i/>
                <w:iCs/>
                <w:sz w:val="19"/>
                <w:szCs w:val="19"/>
              </w:rPr>
              <w:t xml:space="preserve">Reported:</w:t>
            </w:r>
            <w:r>
              <w:rPr>
                <w:sz w:val="19"/>
                <w:szCs w:val="19"/>
              </w:rPr>
              <w:t xml:space="preserve"> as written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Language support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formal interpreter service on the ward; Arabic-speaking colleagues and, at times, relatives interpret informally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Telephone interpreting available on request (reported as rarely used); Arabic-speaking colleagues interpret informally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Companions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female companion may stay with the woman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female companion may stay with the woman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Companion may stay in the single room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Physiotherapy referral route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Nurse raises needs beyond routine assistance with the obstetric team; obstetric team places an electronic referral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Nurse raises needs with the obstetrician, who refers electronically or by telephone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Physiotherapy availability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Sunday–Thursday, 08:00–16:00; weekly women's health session; weekend on-call for urgent inpatient needs only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Sunday–Thursday, 08:00–16:00; general inpatient service; no designated women's health session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Sunday–Thursday, 08:00–17:00, and Saturday morning; weekly outpatient women's health clinic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Physiotherapy communication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Clinical record entry and verbal handover to the nurse in charge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Out of hours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physiotherapy at night; nursing assistance and reassessment continue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Hospital A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Physiotherapists eligible / interested / interviewed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 / 4 / 3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/ 2 / 2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/ 2 / 2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Women approached / interviewed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/ 7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 / 6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 / 5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Nurses expressing interest / interviewed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/ 5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/ 4</w:t>
            </w:r>
          </w:p>
        </w:tc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/ 3</w:t>
            </w:r>
          </w:p>
        </w:tc>
      </w:tr>
    </w:tbl>
    <w:p>
      <w:pPr>
        <w:spacing w:after="60"/>
      </w:pPr>
    </w:p>
    <w:p>
      <w:pPr>
        <w:spacing w:after="240" w:line="276"/>
      </w:pPr>
      <w:r>
        <w:rPr>
          <w:i/>
          <w:iCs/>
          <w:sz w:val="19"/>
          <w:szCs w:val="19"/>
        </w:rPr>
        <w:t xml:space="preserve">Note.</w:t>
      </w:r>
      <w:r>
        <w:rPr>
          <w:sz w:val="19"/>
          <w:szCs w:val="19"/>
        </w:rPr>
        <w:t xml:space="preserve"> Site-level recruitment figures sum to the totals in Table 2 (women 27 / 18; nurses 16 / 12; physiotherapists 9 / 8 / 7). Ward sizes are rounded to limit identification. The study's ≤24 h / &gt;24 h mobilisation-timing grouping (Table 3) is descriptive and was not derived from any site's timing target. The Saudi working week runs Sunday to Thursday.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03A2E"/>
        <w:sz w:val="16"/>
        <w:szCs w:val="16"/>
      </w:rPr>
      <w:t xml:space="preserve">SIMULATED DATA — EDUCATIONAL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 S3. Site profiles: mobilisation guidance, professional responsibilities, referral arrangements and service availability</dc:title>
  <dc:creator>Educational simulation</dc:creator>
  <cp:lastModifiedBy>Un-named</cp:lastModifiedBy>
  <cp:revision>1</cp:revision>
  <dcterms:created xsi:type="dcterms:W3CDTF">2026-10-07T21:39:55.442Z</dcterms:created>
  <dcterms:modified xsi:type="dcterms:W3CDTF">2026-10-07T21:39:55.442Z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