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666666"/>
          <w:sz w:val="20"/>
          <w:szCs w:val="20"/>
        </w:rPr>
        <w:t xml:space="preserve">EMAIL 2 – SUBMITTING THE RESPONSE</w:t>
      </w:r>
    </w:p>
    <w:p>
      <w:pPr>
        <w:spacing w:after="24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Send no later than 25 October 2026, to everyone in copy on the co-editors’ email, with 01_Response_to_Commentary_NICC.docx attached.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Josef Trapani; Peter Nydahl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Cc: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  <w:shd w:fill="FFFF00" w:color="auto" w:val="clear"/>
        </w:rPr>
        <w:t xml:space="preserve">[everyone copied on the co-editors’ email]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Subject: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Response to commentary on Samy et al., Nursing in Critical Care 2026;31(5):e70620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Attachment: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01_Response_to_Commentary_NICC.docx</w:t>
      </w:r>
    </w:p>
    <w:p>
      <w:pPr>
        <w:pBdr>
          <w:bottom w:val="single" w:color="999999" w:sz="6" w:space="4"/>
        </w:pBdr>
        <w:spacing w:after="240"/>
      </w:pP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Dear Dr Trapani and Dr Nydahl,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As agreed, please find attached our response to the commentary “Calibrated to what? Feedback asymmetry and the limits of experiential trust in AI-assisted early warning”, which discusses our article “Trusting the Algorithm or Trusting the Nurse? Critical Care Nurses’ Experiences of Automation Bias and Professional Autonomy in AI-Assisted Early Warning” (Nursing in Critical Care, 2026;31(5):e70620; doi:10.1111/nicc.70620).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Our response is entitled “The patient and the system: Two reference points for evaluating nurses’ trust in AI-assisted early warning”. Its main text runs to 1,478 words, including headings and excluding the title (16 words), end statements and references, within the 1,500-word limit. All three authors have read and approved it.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We are grateful to the commentators for their thoughtful critique. In our response we: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clarify what our interpretive study claimed about nurses’ trust, stating precisely that participants described adjusting their trust through experience, while the accuracy of those adjustments was not evaluated;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engage with the feedback asymmetry they describe and show how it connects with our findings on nursing surveillance and silent override; and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set out where our recommendations converge with theirs, including symmetric, log-based capture of alert outputs, responses and outcomes, nurse-facing performance reports that include missed events, and the evaluation designs needed to test whether nurses’ trust tracks the system’s reliability.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Our response refers to the commentary in its text. Should the journal’s style require a formal citation of the commentary, we would be grateful if the Editorial Office could add it.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We would be happy to make any editorial changes you require.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With best wishes,</w:t>
      </w:r>
    </w:p>
    <w:p>
      <w:pPr>
        <w:spacing w:after="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Osama Mohamed Elsayed Ramadan</w:t>
      </w:r>
    </w:p>
    <w:p>
      <w:pPr>
        <w:spacing w:after="0" w:before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Corresponding author, on behalf of Reda Samy and Ghada Elsaid Ali Elsayed</w:t>
      </w:r>
    </w:p>
    <w:p>
      <w:pPr>
        <w:spacing w:after="0" w:before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Department of Maternal and Child Health Nursing, College of Nursing, Jouf University, Sakaka, Saudi Arabia</w:t>
      </w:r>
    </w:p>
    <w:p>
      <w:pPr>
        <w:spacing w:after="0" w:before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omramadan@ju.edu.sa</w:t>
      </w:r>
    </w:p>
    <w:p>
      <w:pPr>
        <w:keepNext/>
        <w:spacing w:after="120" w:before="480" w:line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Notes for the authors (delete before sending)</w:t>
      </w:r>
    </w:p>
    <w:p>
      <w:pPr>
        <w:pStyle w:val="ListParagraph"/>
        <w:numPr>
          <w:ilvl w:val="0"/>
          <w:numId w:val="2"/>
        </w:numPr>
        <w:spacing w:after="6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Attach the final 01_Response_to_Commentary_NICC.docx and confirm that both co-authors have approved that exact version.</w:t>
      </w:r>
    </w:p>
    <w:p>
      <w:pPr>
        <w:pStyle w:val="ListParagraph"/>
        <w:numPr>
          <w:ilvl w:val="0"/>
          <w:numId w:val="2"/>
        </w:numPr>
        <w:spacing w:after="6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Confirm the Funding statement (“This response received no specific funding”) with your co-authors before sending.</w:t>
      </w:r>
    </w:p>
    <w:p>
      <w:pPr>
        <w:pStyle w:val="ListParagraph"/>
        <w:numPr>
          <w:ilvl w:val="0"/>
          <w:numId w:val="2"/>
        </w:numPr>
        <w:spacing w:after="6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Word counts in this email are generated from the response file and match it.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commentary on Samy et al., Nursing in Critical Care 2026;31(5):e70620</dc:title>
  <dc:creator>Osama Mohamed Elsayed Ramadan</dc:creator>
  <cp:lastModifiedBy>Un-named</cp:lastModifiedBy>
  <cp:revision>1</cp:revision>
  <dcterms:created xsi:type="dcterms:W3CDTF">2026-10-09T00:06:48.409Z</dcterms:created>
  <dcterms:modified xsi:type="dcterms:W3CDTF">2026-10-09T00:06:48.409Z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