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176BF" w14:textId="07AFD7F3" w:rsidR="00FD3BB5" w:rsidRDefault="00F210CB" w:rsidP="00D3508B">
      <w:pPr>
        <w:jc w:val="center"/>
        <w:rPr>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https://www.bibelstudium.de/articles/5460/dem-herrn-dienen.html</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r>
      <w:r>
        <w:rPr>
          <w:rFonts w:ascii="Sakkal Majalla" w:hAnsi="Sakkal Majalla" w:cs="Sakkal Majalla"/>
          <w:sz w:val="28"/>
          <w:szCs w:val="28"/>
          <w:rtl/>
          <w:lang w:bidi="ar-AE"/>
        </w:rPr>
        <w:fldChar w:fldCharType="separate"/>
      </w:r>
      <w:r w:rsidRPr="00F210CB">
        <w:rPr>
          <w:rStyle w:val="Hyperlink"/>
          <w:rFonts w:ascii="Sakkal Majalla" w:hAnsi="Sakkal Majalla" w:cs="Sakkal Majalla" w:hint="cs"/>
          <w:sz w:val="28"/>
          <w:szCs w:val="28"/>
          <w:rtl/>
          <w:lang w:bidi="ar-AE"/>
        </w:rPr>
        <w:t>أن نخدم ال</w:t>
      </w:r>
      <w:bookmarkStart w:id="0" w:name="_GoBack"/>
      <w:bookmarkEnd w:id="0"/>
      <w:r w:rsidRPr="00F210CB">
        <w:rPr>
          <w:rStyle w:val="Hyperlink"/>
          <w:rFonts w:ascii="Sakkal Majalla" w:hAnsi="Sakkal Majalla" w:cs="Sakkal Majalla" w:hint="cs"/>
          <w:sz w:val="28"/>
          <w:szCs w:val="28"/>
          <w:rtl/>
          <w:lang w:bidi="ar-AE"/>
        </w:rPr>
        <w:t>رب</w:t>
      </w:r>
      <w:r>
        <w:rPr>
          <w:rFonts w:ascii="Sakkal Majalla" w:hAnsi="Sakkal Majalla" w:cs="Sakkal Majalla"/>
          <w:sz w:val="28"/>
          <w:szCs w:val="28"/>
          <w:rtl/>
          <w:lang w:bidi="ar-AE"/>
        </w:rPr>
        <w:fldChar w:fldCharType="end"/>
      </w:r>
    </w:p>
    <w:p w14:paraId="37053AC1" w14:textId="77777777" w:rsidR="00F210CB" w:rsidRDefault="00F210CB" w:rsidP="00F210CB">
      <w:pPr>
        <w:jc w:val="both"/>
        <w:rPr>
          <w:rFonts w:ascii="Sakkal Majalla" w:hAnsi="Sakkal Majalla" w:cs="Sakkal Majalla"/>
          <w:sz w:val="28"/>
          <w:szCs w:val="28"/>
          <w:rtl/>
          <w:lang w:bidi="ar-AE"/>
        </w:rPr>
      </w:pPr>
      <w:r w:rsidRPr="00F210CB">
        <w:rPr>
          <w:rFonts w:ascii="Sakkal Majalla" w:hAnsi="Sakkal Majalla" w:cs="Sakkal Majalla"/>
          <w:sz w:val="28"/>
          <w:szCs w:val="28"/>
          <w:lang w:bidi="ar-AE"/>
        </w:rPr>
        <w:t>A. Blok</w:t>
      </w:r>
    </w:p>
    <w:p w14:paraId="5EABCEE2" w14:textId="2E59C4AA" w:rsidR="00F210CB" w:rsidRDefault="0034214A" w:rsidP="0034214A">
      <w:pPr>
        <w:jc w:val="both"/>
        <w:rPr>
          <w:rFonts w:ascii="Sakkal Majalla" w:hAnsi="Sakkal Majalla" w:cs="Sakkal Majalla"/>
          <w:sz w:val="28"/>
          <w:szCs w:val="28"/>
          <w:rtl/>
          <w:lang w:bidi="ar-AE"/>
        </w:rPr>
      </w:pPr>
      <w:r w:rsidRPr="00EF18FA">
        <w:rPr>
          <w:rFonts w:ascii="Sakkal Majalla" w:hAnsi="Sakkal Majalla" w:cs="Sakkal Majalla" w:hint="cs"/>
          <w:color w:val="FF0000"/>
          <w:sz w:val="28"/>
          <w:szCs w:val="28"/>
          <w:rtl/>
          <w:lang w:bidi="ar-AE"/>
        </w:rPr>
        <w:t>"</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فَسَأَلَهُمْ</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أَيْضًا</w:t>
      </w:r>
      <w:r w:rsidRPr="00EF18FA">
        <w:rPr>
          <w:rFonts w:ascii="Sakkal Majalla" w:hAnsi="Sakkal Majalla" w:cs="Sakkal Majalla"/>
          <w:color w:val="FF0000"/>
          <w:sz w:val="28"/>
          <w:szCs w:val="28"/>
          <w:rtl/>
          <w:lang w:bidi="ar-AE"/>
        </w:rPr>
        <w:t>: «</w:t>
      </w:r>
      <w:r w:rsidRPr="00EF18FA">
        <w:rPr>
          <w:rFonts w:ascii="Sakkal Majalla" w:hAnsi="Sakkal Majalla" w:cs="Sakkal Majalla" w:hint="cs"/>
          <w:color w:val="FF0000"/>
          <w:sz w:val="28"/>
          <w:szCs w:val="28"/>
          <w:rtl/>
          <w:lang w:bidi="ar-AE"/>
        </w:rPr>
        <w:t>مَنْ</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تَطْلُبُونَ؟</w:t>
      </w:r>
      <w:r w:rsidRPr="00EF18FA">
        <w:rPr>
          <w:rFonts w:ascii="Sakkal Majalla" w:hAnsi="Sakkal Majalla" w:cs="Sakkal Majalla" w:hint="eastAsia"/>
          <w:color w:val="FF0000"/>
          <w:sz w:val="28"/>
          <w:szCs w:val="28"/>
          <w:rtl/>
          <w:lang w:bidi="ar-AE"/>
        </w:rPr>
        <w:t>»</w:t>
      </w:r>
      <w:r w:rsidRPr="00EF18FA">
        <w:rPr>
          <w:rFonts w:ascii="Sakkal Majalla" w:hAnsi="Sakkal Majalla" w:cs="Sakkal Majalla"/>
          <w:color w:val="FF0000"/>
          <w:sz w:val="28"/>
          <w:szCs w:val="28"/>
          <w:rtl/>
          <w:lang w:bidi="ar-AE"/>
        </w:rPr>
        <w:t xml:space="preserve"> </w:t>
      </w:r>
      <w:proofErr w:type="spellStart"/>
      <w:proofErr w:type="gramStart"/>
      <w:r w:rsidRPr="00EF18FA">
        <w:rPr>
          <w:rFonts w:ascii="Sakkal Majalla" w:hAnsi="Sakkal Majalla" w:cs="Sakkal Majalla" w:hint="cs"/>
          <w:color w:val="FF0000"/>
          <w:sz w:val="28"/>
          <w:szCs w:val="28"/>
          <w:rtl/>
          <w:lang w:bidi="ar-AE"/>
        </w:rPr>
        <w:t>فَقَالُوا</w:t>
      </w:r>
      <w:r w:rsidRPr="00EF18FA">
        <w:rPr>
          <w:rFonts w:ascii="Sakkal Majalla" w:hAnsi="Sakkal Majalla" w:cs="Sakkal Majalla"/>
          <w:color w:val="FF0000"/>
          <w:sz w:val="28"/>
          <w:szCs w:val="28"/>
          <w:rtl/>
          <w:lang w:bidi="ar-AE"/>
        </w:rPr>
        <w:t>:«</w:t>
      </w:r>
      <w:proofErr w:type="gramEnd"/>
      <w:r w:rsidRPr="00EF18FA">
        <w:rPr>
          <w:rFonts w:ascii="Sakkal Majalla" w:hAnsi="Sakkal Majalla" w:cs="Sakkal Majalla" w:hint="cs"/>
          <w:color w:val="FF0000"/>
          <w:sz w:val="28"/>
          <w:szCs w:val="28"/>
          <w:rtl/>
          <w:lang w:bidi="ar-AE"/>
        </w:rPr>
        <w:t>يَسُوعَ</w:t>
      </w:r>
      <w:proofErr w:type="spellEnd"/>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النَّاصِرِيَّ</w:t>
      </w:r>
      <w:r w:rsidRPr="00EF18FA">
        <w:rPr>
          <w:rFonts w:ascii="Sakkal Majalla" w:hAnsi="Sakkal Majalla" w:cs="Sakkal Majalla" w:hint="eastAsia"/>
          <w:color w:val="FF0000"/>
          <w:sz w:val="28"/>
          <w:szCs w:val="28"/>
          <w:rtl/>
          <w:lang w:bidi="ar-AE"/>
        </w:rPr>
        <w:t>»</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أَجَابَ</w:t>
      </w:r>
      <w:r w:rsidRPr="00EF18FA">
        <w:rPr>
          <w:rFonts w:ascii="Sakkal Majalla" w:hAnsi="Sakkal Majalla" w:cs="Sakkal Majalla"/>
          <w:color w:val="FF0000"/>
          <w:sz w:val="28"/>
          <w:szCs w:val="28"/>
          <w:rtl/>
          <w:lang w:bidi="ar-AE"/>
        </w:rPr>
        <w:t xml:space="preserve"> </w:t>
      </w:r>
      <w:proofErr w:type="spellStart"/>
      <w:proofErr w:type="gramStart"/>
      <w:r w:rsidRPr="00EF18FA">
        <w:rPr>
          <w:rFonts w:ascii="Sakkal Majalla" w:hAnsi="Sakkal Majalla" w:cs="Sakkal Majalla" w:hint="cs"/>
          <w:color w:val="FF0000"/>
          <w:sz w:val="28"/>
          <w:szCs w:val="28"/>
          <w:rtl/>
          <w:lang w:bidi="ar-AE"/>
        </w:rPr>
        <w:t>يَسُوع</w:t>
      </w:r>
      <w:r w:rsidRPr="00EF18FA">
        <w:rPr>
          <w:rFonts w:ascii="Sakkal Majalla" w:hAnsi="Sakkal Majalla" w:cs="Sakkal Majalla"/>
          <w:color w:val="FF0000"/>
          <w:sz w:val="28"/>
          <w:szCs w:val="28"/>
          <w:rtl/>
          <w:lang w:bidi="ar-AE"/>
        </w:rPr>
        <w:t>:«</w:t>
      </w:r>
      <w:proofErr w:type="gramEnd"/>
      <w:r w:rsidRPr="00EF18FA">
        <w:rPr>
          <w:rFonts w:ascii="Sakkal Majalla" w:hAnsi="Sakkal Majalla" w:cs="Sakkal Majalla" w:hint="cs"/>
          <w:color w:val="FF0000"/>
          <w:sz w:val="28"/>
          <w:szCs w:val="28"/>
          <w:rtl/>
          <w:lang w:bidi="ar-AE"/>
        </w:rPr>
        <w:t>قَدْ</w:t>
      </w:r>
      <w:proofErr w:type="spellEnd"/>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قُلْتُ</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لَكُمْ</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إِنِّي</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أَنَا</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هُوَ</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فَإِنْ</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كُنْتُمْ</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تَطْلُبُونَنِي</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فَدَعُوا</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هؤُلاَءِ</w:t>
      </w:r>
      <w:r w:rsidRPr="00EF18FA">
        <w:rPr>
          <w:rFonts w:ascii="Sakkal Majalla" w:hAnsi="Sakkal Majalla" w:cs="Sakkal Majalla"/>
          <w:color w:val="FF0000"/>
          <w:sz w:val="28"/>
          <w:szCs w:val="28"/>
          <w:rtl/>
          <w:lang w:bidi="ar-AE"/>
        </w:rPr>
        <w:t xml:space="preserve"> </w:t>
      </w:r>
      <w:r w:rsidRPr="00EF18FA">
        <w:rPr>
          <w:rFonts w:ascii="Sakkal Majalla" w:hAnsi="Sakkal Majalla" w:cs="Sakkal Majalla" w:hint="cs"/>
          <w:color w:val="FF0000"/>
          <w:sz w:val="28"/>
          <w:szCs w:val="28"/>
          <w:rtl/>
          <w:lang w:bidi="ar-AE"/>
        </w:rPr>
        <w:t>يَذْهَبُونَ</w:t>
      </w:r>
      <w:r w:rsidRPr="0034214A">
        <w:rPr>
          <w:rFonts w:ascii="Sakkal Majalla" w:hAnsi="Sakkal Majalla" w:cs="Sakkal Majalla" w:hint="eastAsia"/>
          <w:sz w:val="28"/>
          <w:szCs w:val="28"/>
          <w:rtl/>
          <w:lang w:bidi="ar-AE"/>
        </w:rPr>
        <w:t>»</w:t>
      </w:r>
      <w:r w:rsidRPr="0034214A">
        <w:rPr>
          <w:rFonts w:ascii="Sakkal Majalla" w:hAnsi="Sakkal Majalla" w:cs="Sakkal Majalla"/>
          <w:sz w:val="28"/>
          <w:szCs w:val="28"/>
          <w:rtl/>
          <w:lang w:bidi="ar-AE"/>
        </w:rPr>
        <w:t>.</w:t>
      </w:r>
      <w:r>
        <w:rPr>
          <w:rFonts w:ascii="Sakkal Majalla" w:hAnsi="Sakkal Majalla" w:cs="Sakkal Majalla" w:hint="cs"/>
          <w:sz w:val="28"/>
          <w:szCs w:val="28"/>
          <w:rtl/>
          <w:lang w:bidi="ar-AE"/>
        </w:rPr>
        <w:t>" (يوحنا 18: 7، 8).</w:t>
      </w:r>
    </w:p>
    <w:p w14:paraId="44DA881F" w14:textId="4DFCB604" w:rsidR="0034214A" w:rsidRDefault="0034214A" w:rsidP="0034214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يا للعجب في أن نرى معاملات الرب! بالرغم من أنه كان في خطر كبير، لم يفر، وإنما أظهر عنايته الإلهية لتلاميذه وتوسط ما بينهم وأعداءه. هذا يذكرنا بداود الذي صارع الأسد والدب لينقذ خرافه. في المشهد المذكور أعلاه يحمي الرب خاصته من مخاطر جسدية، لكنه فعل ذلك بصورة أعمق بكثير، حينما ذهب إلى الصليب ووضع نفسه بيننا والله القدوس. في إنجيل يوحنا تأتي الغوغاء بسبب الرب، ولكن في حالتنا نحن يتصارع الله معنا بسبب الخطية. هو قال، بأن أجرة الخطية هي موت، وكل خاطئ يستحق الموت. نحن نعلم بأن الرب كان مستثنًى عن ذلك، مَن لم يفعل خطية، ولم يكن يعرف خطية، ولم تكن فيه خطية. وعلى الرغم من ذلك وضع نفسه طوعًا واختيارًا بين بشر أثمة وإله بار. طوعًا واختيارًا قبل </w:t>
      </w:r>
      <w:r w:rsidR="00EC17AF">
        <w:rPr>
          <w:rFonts w:ascii="Sakkal Majalla" w:hAnsi="Sakkal Majalla" w:cs="Sakkal Majalla" w:hint="cs"/>
          <w:sz w:val="28"/>
          <w:szCs w:val="28"/>
          <w:rtl/>
          <w:lang w:bidi="ar-AE"/>
        </w:rPr>
        <w:t>بأن يُجعَل خطية، وقد حمل العقوبة التي كان ينبغي فرضها. لقد قال على هذا النحو: "</w:t>
      </w:r>
      <w:r w:rsidR="00EC17AF" w:rsidRPr="00EC17AF">
        <w:rPr>
          <w:rFonts w:ascii="Sakkal Majalla" w:hAnsi="Sakkal Majalla" w:cs="Sakkal Majalla" w:hint="cs"/>
          <w:sz w:val="28"/>
          <w:szCs w:val="28"/>
          <w:rtl/>
          <w:lang w:bidi="ar-AE"/>
        </w:rPr>
        <w:t>فَدَعُوا</w:t>
      </w:r>
      <w:r w:rsidR="00EC17AF" w:rsidRPr="00EC17AF">
        <w:rPr>
          <w:rFonts w:ascii="Sakkal Majalla" w:hAnsi="Sakkal Majalla" w:cs="Sakkal Majalla"/>
          <w:sz w:val="28"/>
          <w:szCs w:val="28"/>
          <w:rtl/>
          <w:lang w:bidi="ar-AE"/>
        </w:rPr>
        <w:t xml:space="preserve"> </w:t>
      </w:r>
      <w:r w:rsidR="00EC17AF" w:rsidRPr="00EC17AF">
        <w:rPr>
          <w:rFonts w:ascii="Sakkal Majalla" w:hAnsi="Sakkal Majalla" w:cs="Sakkal Majalla" w:hint="cs"/>
          <w:sz w:val="28"/>
          <w:szCs w:val="28"/>
          <w:rtl/>
          <w:lang w:bidi="ar-AE"/>
        </w:rPr>
        <w:t>هؤُلاَءِ</w:t>
      </w:r>
      <w:r w:rsidR="00EC17AF" w:rsidRPr="00EC17AF">
        <w:rPr>
          <w:rFonts w:ascii="Sakkal Majalla" w:hAnsi="Sakkal Majalla" w:cs="Sakkal Majalla"/>
          <w:sz w:val="28"/>
          <w:szCs w:val="28"/>
          <w:rtl/>
          <w:lang w:bidi="ar-AE"/>
        </w:rPr>
        <w:t xml:space="preserve"> </w:t>
      </w:r>
      <w:r w:rsidR="00EC17AF" w:rsidRPr="00EC17AF">
        <w:rPr>
          <w:rFonts w:ascii="Sakkal Majalla" w:hAnsi="Sakkal Majalla" w:cs="Sakkal Majalla" w:hint="cs"/>
          <w:sz w:val="28"/>
          <w:szCs w:val="28"/>
          <w:rtl/>
          <w:lang w:bidi="ar-AE"/>
        </w:rPr>
        <w:t>يَذْهَبُونَ</w:t>
      </w:r>
      <w:r w:rsidR="00EC17AF">
        <w:rPr>
          <w:rFonts w:ascii="Sakkal Majalla" w:hAnsi="Sakkal Majalla" w:cs="Sakkal Majalla" w:hint="cs"/>
          <w:sz w:val="28"/>
          <w:szCs w:val="28"/>
          <w:rtl/>
          <w:lang w:bidi="ar-AE"/>
        </w:rPr>
        <w:t>". هو مات لكي نخرج نحن أحرارًا.</w:t>
      </w:r>
    </w:p>
    <w:p w14:paraId="72DF94E3" w14:textId="5CC126B5" w:rsidR="00EC17AF" w:rsidRDefault="00EC17AF" w:rsidP="0034214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ما هو ردنا على مثل هذه التضحية؟ هل نعمل ما نريده نحن؟ وإن كان هذا محتمل، إلا أنه يتمنى غير ذلك. إنه ما يُرضي الله إن لبينا رغباته بمحبة وطاعة، نحن الذين أُطلقنا إلى الحرية. إننا نتذكر العبد العبراني، الذي بدلاً من أن يخرج حرًا من بعد سنين من التزامه للناموس، اختار بأن يبقى عبدًا. هو اختار بأن يخدم سيده بمحبة، لأنه أحب سيده وقد اختبر بأنه كان في سلامة العيش في رعاية سيده (خروج 21: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6). يا ليتنا نستخدم حريتنا في أن نخدم سيدنا بمحبة!</w:t>
      </w:r>
    </w:p>
    <w:p w14:paraId="78F6E3FD" w14:textId="6980AC88" w:rsidR="00EF18FA" w:rsidRPr="00F210CB" w:rsidRDefault="00EF18FA" w:rsidP="00EF18FA">
      <w:pPr>
        <w:jc w:val="center"/>
        <w:rPr>
          <w:rFonts w:ascii="Sakkal Majalla" w:hAnsi="Sakkal Majalla" w:cs="Sakkal Majalla" w:hint="cs"/>
          <w:sz w:val="28"/>
          <w:szCs w:val="28"/>
          <w:lang w:bidi="ar-AE"/>
        </w:rPr>
      </w:pPr>
      <w:r>
        <w:rPr>
          <w:rFonts w:ascii="Sakkal Majalla" w:hAnsi="Sakkal Majalla" w:cs="Sakkal Majalla" w:hint="cs"/>
          <w:sz w:val="28"/>
          <w:szCs w:val="28"/>
          <w:rtl/>
          <w:lang w:bidi="ar-AE"/>
        </w:rPr>
        <w:t>-تم-</w:t>
      </w:r>
    </w:p>
    <w:sectPr w:rsidR="00EF18FA" w:rsidRPr="00F210C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CB"/>
    <w:rsid w:val="000C5A11"/>
    <w:rsid w:val="003056E7"/>
    <w:rsid w:val="0034214A"/>
    <w:rsid w:val="00BA192E"/>
    <w:rsid w:val="00C442EF"/>
    <w:rsid w:val="00D3508B"/>
    <w:rsid w:val="00EC17AF"/>
    <w:rsid w:val="00EF18FA"/>
    <w:rsid w:val="00F210CB"/>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9BA9"/>
  <w15:chartTrackingRefBased/>
  <w15:docId w15:val="{DD3009D2-C4AA-4242-B16F-D099A32B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10CB"/>
    <w:rPr>
      <w:color w:val="0563C1" w:themeColor="hyperlink"/>
      <w:u w:val="single"/>
    </w:rPr>
  </w:style>
  <w:style w:type="character" w:styleId="UnresolvedMention">
    <w:name w:val="Unresolved Mention"/>
    <w:basedOn w:val="DefaultParagraphFont"/>
    <w:uiPriority w:val="99"/>
    <w:semiHidden/>
    <w:unhideWhenUsed/>
    <w:rsid w:val="00F21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772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4</cp:revision>
  <dcterms:created xsi:type="dcterms:W3CDTF">2021-02-03T06:39:00Z</dcterms:created>
  <dcterms:modified xsi:type="dcterms:W3CDTF">2021-02-03T06:59:00Z</dcterms:modified>
</cp:coreProperties>
</file>