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194" w:rsidRPr="00341194" w:rsidRDefault="00341194" w:rsidP="00341194">
      <w:pPr>
        <w:bidi/>
        <w:jc w:val="both"/>
        <w:rPr>
          <w:rStyle w:val="Hyperlink"/>
          <w:rFonts w:ascii="Sakkal Majalla" w:hAnsi="Sakkal Majalla" w:cs="Sakkal Majalla"/>
          <w:sz w:val="28"/>
          <w:szCs w:val="28"/>
          <w:rtl/>
          <w:lang w:val="en-US"/>
        </w:rPr>
      </w:pPr>
      <w:r>
        <w:rPr>
          <w:rFonts w:ascii="Sakkal Majalla" w:hAnsi="Sakkal Majalla" w:cs="Sakkal Majalla"/>
          <w:sz w:val="28"/>
          <w:szCs w:val="28"/>
          <w:rtl/>
          <w:lang w:val="en-US"/>
        </w:rPr>
        <w:fldChar w:fldCharType="begin"/>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HYPERLINK</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lang w:val="en-US"/>
        </w:rPr>
        <w:instrText>https://www.soundwords.de/a601.html</w:instrText>
      </w:r>
      <w:r>
        <w:rPr>
          <w:rFonts w:ascii="Sakkal Majalla" w:hAnsi="Sakkal Majalla" w:cs="Sakkal Majalla"/>
          <w:sz w:val="28"/>
          <w:szCs w:val="28"/>
          <w:rtl/>
          <w:lang w:val="en-US"/>
        </w:rPr>
        <w:instrText xml:space="preserve">" </w:instrText>
      </w:r>
      <w:r>
        <w:rPr>
          <w:rFonts w:ascii="Sakkal Majalla" w:hAnsi="Sakkal Majalla" w:cs="Sakkal Majalla"/>
          <w:sz w:val="28"/>
          <w:szCs w:val="28"/>
          <w:rtl/>
          <w:lang w:val="en-US"/>
        </w:rPr>
      </w:r>
      <w:r>
        <w:rPr>
          <w:rFonts w:ascii="Sakkal Majalla" w:hAnsi="Sakkal Majalla" w:cs="Sakkal Majalla"/>
          <w:sz w:val="28"/>
          <w:szCs w:val="28"/>
          <w:rtl/>
          <w:lang w:val="en-US"/>
        </w:rPr>
        <w:fldChar w:fldCharType="separate"/>
      </w:r>
      <w:r w:rsidRPr="00341194">
        <w:rPr>
          <w:rStyle w:val="Hyperlink"/>
          <w:rFonts w:ascii="Sakkal Majalla" w:hAnsi="Sakkal Majalla" w:cs="Sakkal Majalla" w:hint="cs"/>
          <w:sz w:val="28"/>
          <w:szCs w:val="28"/>
          <w:rtl/>
          <w:lang w:val="en-US"/>
        </w:rPr>
        <w:t>إلى أين يمضي المسيحي ع</w:t>
      </w:r>
      <w:r w:rsidRPr="00341194">
        <w:rPr>
          <w:rStyle w:val="Hyperlink"/>
          <w:rFonts w:ascii="Sakkal Majalla" w:hAnsi="Sakkal Majalla" w:cs="Sakkal Majalla" w:hint="cs"/>
          <w:sz w:val="28"/>
          <w:szCs w:val="28"/>
          <w:rtl/>
          <w:lang w:val="en-US"/>
        </w:rPr>
        <w:t>ن</w:t>
      </w:r>
      <w:r w:rsidRPr="00341194">
        <w:rPr>
          <w:rStyle w:val="Hyperlink"/>
          <w:rFonts w:ascii="Sakkal Majalla" w:hAnsi="Sakkal Majalla" w:cs="Sakkal Majalla" w:hint="cs"/>
          <w:sz w:val="28"/>
          <w:szCs w:val="28"/>
          <w:rtl/>
          <w:lang w:val="en-US"/>
        </w:rPr>
        <w:t xml:space="preserve">دما يموت؟ </w:t>
      </w:r>
    </w:p>
    <w:p w:rsidR="00614739" w:rsidRDefault="00341194" w:rsidP="00341194">
      <w:pPr>
        <w:bidi/>
        <w:jc w:val="both"/>
        <w:rPr>
          <w:rFonts w:ascii="Sakkal Majalla" w:hAnsi="Sakkal Majalla" w:cs="Sakkal Majalla"/>
          <w:sz w:val="28"/>
          <w:szCs w:val="28"/>
          <w:rtl/>
          <w:lang w:val="en-US"/>
        </w:rPr>
      </w:pPr>
      <w:r>
        <w:rPr>
          <w:rFonts w:ascii="Sakkal Majalla" w:hAnsi="Sakkal Majalla" w:cs="Sakkal Majalla"/>
          <w:sz w:val="28"/>
          <w:szCs w:val="28"/>
          <w:rtl/>
          <w:lang w:val="en-US"/>
        </w:rPr>
        <w:fldChar w:fldCharType="end"/>
      </w:r>
      <w:proofErr w:type="spellStart"/>
      <w:r>
        <w:rPr>
          <w:rFonts w:ascii="Sakkal Majalla" w:hAnsi="Sakkal Majalla" w:cs="Sakkal Majalla" w:hint="cs"/>
          <w:sz w:val="28"/>
          <w:szCs w:val="28"/>
          <w:rtl/>
          <w:lang w:val="en-US"/>
        </w:rPr>
        <w:t>أورليش</w:t>
      </w:r>
      <w:proofErr w:type="spellEnd"/>
      <w:r>
        <w:rPr>
          <w:rFonts w:ascii="Sakkal Majalla" w:hAnsi="Sakkal Majalla" w:cs="Sakkal Majalla" w:hint="cs"/>
          <w:sz w:val="28"/>
          <w:szCs w:val="28"/>
          <w:rtl/>
          <w:lang w:val="en-US"/>
        </w:rPr>
        <w:t xml:space="preserve"> فيك</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الجامعة يعطينا ردًا أوليًا عامًا بحسب فطنته: "... </w:t>
      </w:r>
      <w:r w:rsidRPr="00341194">
        <w:rPr>
          <w:rFonts w:ascii="Sakkal Majalla" w:hAnsi="Sakkal Majalla" w:cs="Sakkal Majalla"/>
          <w:sz w:val="28"/>
          <w:szCs w:val="28"/>
          <w:rtl/>
          <w:lang w:val="en-US"/>
        </w:rPr>
        <w:t>فَيَرْجعُ التُّرَابُ إِلَى الأَرْضِ كَمَا كَانَ، وَتَرْجعُ الرُّوحُ إِلَى اللهِ الَّذِي أَعْطَاهَا.</w:t>
      </w:r>
      <w:r>
        <w:rPr>
          <w:rFonts w:ascii="Sakkal Majalla" w:hAnsi="Sakkal Majalla" w:cs="Sakkal Majalla" w:hint="cs"/>
          <w:sz w:val="28"/>
          <w:szCs w:val="28"/>
          <w:rtl/>
          <w:lang w:val="en-US"/>
        </w:rPr>
        <w:t>" (جامعة 12: 7). وفي ذلك هو لا يميز إن كان الشخص مؤمنًا أو غير مؤمن. فالروح التي يعطيها الله للإنسان لا تُفنى، وإنما تعود إلى الله ثانية. من الطبيعي يأتي السؤال من بعد هذا: ما الذي يفعله الله بها؟</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يُعطى دانيال النبي جوابًا مدهشًا: "</w:t>
      </w:r>
      <w:r w:rsidRPr="00341194">
        <w:rPr>
          <w:rFonts w:ascii="Sakkal Majalla" w:hAnsi="Sakkal Majalla" w:cs="Sakkal Majalla"/>
          <w:sz w:val="28"/>
          <w:szCs w:val="28"/>
          <w:rtl/>
          <w:lang w:val="en-US"/>
        </w:rPr>
        <w:t>وَكَثِيرُونَ مِنَ الرَّاقِدِينَ فِي تُرَابِ الأَرْضِ يَسْتَيْقِظُونَ، هؤُلاَءِ إِلَى الْحَيَاةِ الأَبَدِيَّةِ، وَهؤُلاَءِ إِلَى الْعَارِ لِلازْدِرَاءِ الأَبَدِيِّ.</w:t>
      </w:r>
      <w:r>
        <w:rPr>
          <w:rFonts w:ascii="Sakkal Majalla" w:hAnsi="Sakkal Majalla" w:cs="Sakkal Majalla" w:hint="cs"/>
          <w:sz w:val="28"/>
          <w:szCs w:val="28"/>
          <w:rtl/>
          <w:lang w:val="en-US"/>
        </w:rPr>
        <w:t>" (دانيال 12: 2). فمن هنا يتضح بصورة مبكرة جدًا، بأن مصير الأموات ليس هو مصير واحد فقط. الله في برّه سيفرّق في الأمر.</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الرب علّم في يوحنا 5: 29 عن هذه النقطة: "... </w:t>
      </w:r>
      <w:r w:rsidRPr="00341194">
        <w:rPr>
          <w:rFonts w:ascii="Sakkal Majalla" w:hAnsi="Sakkal Majalla" w:cs="Sakkal Majalla"/>
          <w:sz w:val="28"/>
          <w:szCs w:val="28"/>
          <w:rtl/>
          <w:lang w:val="en-US"/>
        </w:rPr>
        <w:t>فَيَخْرُجُ الَّذِينَ فَعَلُوا الصَّالِحَاتِ إِلَى قِيَامَةِ الْحَيَاةِ، وَالَّذِينَ عَمِلُوا السَّيِّئَاتِ إِلَى قِيَامَةِ الدَّيْنُونَةِ.</w:t>
      </w:r>
      <w:r>
        <w:rPr>
          <w:rFonts w:ascii="Sakkal Majalla" w:hAnsi="Sakkal Majalla" w:cs="Sakkal Majalla" w:hint="cs"/>
          <w:sz w:val="28"/>
          <w:szCs w:val="28"/>
          <w:rtl/>
          <w:lang w:val="en-US"/>
        </w:rPr>
        <w:t xml:space="preserve">" أي أنه هنالك فارق من بعد الموت: حياة في جانب واحد ودينونة في الجانب الآخر. بالتالي تفترق البشرية إلى صنفين. </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في لوقا 16 يرفع الرب بصورة فريدة الحجاب عن الطرف الاخر من الحياة. فملكوت الموت  له وفقًا لذلك قسمين: "حضن إبراهيم"، ويمكننا أن نسمي هذا الموضع أيضًا بالفردوس (قارن لوقا 23: 43)، وبالهاوية (هادس)، موضع العذاب. لعازر (الذي معنى اسمه: "الله معيني") هو المرادف للمؤمن، بينما الرجل الغني فهو الإنسان المتخاذل (</w:t>
      </w:r>
      <w:proofErr w:type="spellStart"/>
      <w:r>
        <w:rPr>
          <w:rFonts w:ascii="Sakkal Majalla" w:hAnsi="Sakkal Majalla" w:cs="Sakkal Majalla" w:hint="cs"/>
          <w:sz w:val="28"/>
          <w:szCs w:val="28"/>
          <w:rtl/>
          <w:lang w:val="en-US"/>
        </w:rPr>
        <w:t>المتغاضي</w:t>
      </w:r>
      <w:proofErr w:type="spellEnd"/>
      <w:r>
        <w:rPr>
          <w:rFonts w:ascii="Sakkal Majalla" w:hAnsi="Sakkal Majalla" w:cs="Sakkal Majalla" w:hint="cs"/>
          <w:sz w:val="28"/>
          <w:szCs w:val="28"/>
          <w:rtl/>
          <w:lang w:val="en-US"/>
        </w:rPr>
        <w:t>، الغير مهتم)، الغير متصالح مع نفسه. ليس على إنسان أن يفوته الأمر. مَن لا يرتّب أمره مع الله حتمًا سيصل بعد موته إلى البعد الأبدي عن الله.</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الرب يسمي هذا المكان. جهنم. مثلاً:</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متى 5: 29: </w:t>
      </w:r>
      <w:r w:rsidRPr="00341194">
        <w:rPr>
          <w:rFonts w:ascii="Sakkal Majalla" w:hAnsi="Sakkal Majalla" w:cs="Sakkal Majalla"/>
          <w:sz w:val="28"/>
          <w:szCs w:val="28"/>
          <w:rtl/>
          <w:lang w:val="en-US"/>
        </w:rPr>
        <w:t>فَإِنْ كَانَتْ عَيْنُكَ الْيُمْنَى تُعْثِرُكَ فَاقْلَعْهَا وَأَلْقِهَا عَنْكَ، لأَنَّهُ خَيْرٌ لَكَ أَنْ يَهْلِكَ أَحَدُ أَعْضَائِكَ وَلاَ يُلْقَى جَسَدُكَ كُلُّهُ فِي جَهَنَّمَ.</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لوقا 12: 5: </w:t>
      </w:r>
      <w:r w:rsidRPr="00341194">
        <w:rPr>
          <w:rFonts w:ascii="Sakkal Majalla" w:hAnsi="Sakkal Majalla" w:cs="Sakkal Majalla"/>
          <w:sz w:val="28"/>
          <w:szCs w:val="28"/>
          <w:rtl/>
          <w:lang w:val="en-US"/>
        </w:rPr>
        <w:t>بَلْ أُرِيكُمْ مِمَّنْ تَخَافُونَ: خَافُوا مِنَ الَّذِي بَعْدَمَا يَقْتُلُ، لَهُ سُلْطَانٌ أَنْ يُلْقِيَ فِي جَهَنَّمَ. نَعَمْ، أَقُولُ لَكُمْ: مِنْ هذَا خَافُوا!</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ب</w:t>
      </w:r>
      <w:r w:rsidRPr="00341194">
        <w:rPr>
          <w:rFonts w:ascii="Sakkal Majalla" w:hAnsi="Sakkal Majalla" w:cs="Sakkal Majalla" w:hint="cs"/>
          <w:sz w:val="28"/>
          <w:szCs w:val="28"/>
          <w:rtl/>
          <w:lang w:val="en-US"/>
        </w:rPr>
        <w:t xml:space="preserve">هذا يتضح </w:t>
      </w:r>
      <w:r>
        <w:rPr>
          <w:rFonts w:ascii="Sakkal Majalla" w:hAnsi="Sakkal Majalla" w:cs="Sakkal Majalla" w:hint="cs"/>
          <w:sz w:val="28"/>
          <w:szCs w:val="28"/>
          <w:rtl/>
          <w:lang w:val="en-US"/>
        </w:rPr>
        <w:t>بأن الأشرار يذهبون إلى جهنم إلى الدينونة الأبدية (قارن مرقس 9: 43، 44).</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نعود إلى السؤال: أين يذهب المسيحيون عندما يموتون؟ عن هذا لا يتركنا الكتاب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ونشكر الله لأجل ذلك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في حيرة على الإطلاق. فمثلاً الرسول بولس كان له اشتهاء بأن ينطلق (يفارق) ويكون مع المسيح (هو في المجد)، وهو يدعو ذلك في الوقت نفسه ربحًا (فيلبي 1: 23، 21).</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في إصحاح القيامة المعروف (1. كورنثوس 15) يقدّم الرسول نفسه مختلف الأقوال عن الكيان من بعد القيامة: خلود، مجد، قوة، جسد روحي، سماوي، عدم موت ... كل هذه عبارات لها صلة بالمجد السماوي حيثما رينا أيضًا موجود.</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يسوع المسيح بنفسه يضيف إلى ذلك تفاصيلاً أخرى مدهشة. هو يدعو الوجود الأبدي للمؤمنين "حياة":</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lastRenderedPageBreak/>
        <w:t xml:space="preserve">يوحنا 5: 24: </w:t>
      </w:r>
      <w:r w:rsidRPr="00341194">
        <w:rPr>
          <w:rFonts w:ascii="Sakkal Majalla" w:hAnsi="Sakkal Majalla" w:cs="Sakkal Majalla"/>
          <w:sz w:val="28"/>
          <w:szCs w:val="28"/>
          <w:rtl/>
          <w:lang w:val="en-US"/>
        </w:rPr>
        <w:t xml:space="preserve">«اَلْحَقَّ </w:t>
      </w:r>
      <w:proofErr w:type="spellStart"/>
      <w:r w:rsidRPr="00341194">
        <w:rPr>
          <w:rFonts w:ascii="Sakkal Majalla" w:hAnsi="Sakkal Majalla" w:cs="Sakkal Majalla"/>
          <w:sz w:val="28"/>
          <w:szCs w:val="28"/>
          <w:rtl/>
          <w:lang w:val="en-US"/>
        </w:rPr>
        <w:t>الْحَقَّ</w:t>
      </w:r>
      <w:proofErr w:type="spellEnd"/>
      <w:r w:rsidRPr="00341194">
        <w:rPr>
          <w:rFonts w:ascii="Sakkal Majalla" w:hAnsi="Sakkal Majalla" w:cs="Sakkal Majalla"/>
          <w:sz w:val="28"/>
          <w:szCs w:val="28"/>
          <w:rtl/>
          <w:lang w:val="en-US"/>
        </w:rPr>
        <w:t xml:space="preserve"> أَقُولُ لَكُمْ: إِنَّ مَنْ يَسْمَعُ كَلاَمِي وَيُؤْمِنُ بِالَّذِي أَرْسَلَنِي فَلَهُ حَيَاةٌ أَبَدِيَّةٌ، وَلاَ يَأْتِي إِلَى دَيْنُونَةٍ، بَلْ قَدِ انْتَقَلَ مِنَ الْمَوْتِ إِلَى الْحَيَاةِ.</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الحياة من بين معانيها علاقة أبدية بالله الحي.</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في يوحنا 8: 51 يتقدم الرب خطوة أخرى إلى الأمام، كما يبدو لي، لأنه يقول:</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يوحنا 8: 51: </w:t>
      </w:r>
      <w:r w:rsidRPr="00341194">
        <w:rPr>
          <w:rFonts w:ascii="Sakkal Majalla" w:hAnsi="Sakkal Majalla" w:cs="Sakkal Majalla"/>
          <w:sz w:val="28"/>
          <w:szCs w:val="28"/>
          <w:rtl/>
          <w:lang w:val="en-US"/>
        </w:rPr>
        <w:t xml:space="preserve">اَلْحَقَّ </w:t>
      </w:r>
      <w:proofErr w:type="spellStart"/>
      <w:r w:rsidRPr="00341194">
        <w:rPr>
          <w:rFonts w:ascii="Sakkal Majalla" w:hAnsi="Sakkal Majalla" w:cs="Sakkal Majalla"/>
          <w:sz w:val="28"/>
          <w:szCs w:val="28"/>
          <w:rtl/>
          <w:lang w:val="en-US"/>
        </w:rPr>
        <w:t>الْحَقَّ</w:t>
      </w:r>
      <w:proofErr w:type="spellEnd"/>
      <w:r w:rsidRPr="00341194">
        <w:rPr>
          <w:rFonts w:ascii="Sakkal Majalla" w:hAnsi="Sakkal Majalla" w:cs="Sakkal Majalla"/>
          <w:sz w:val="28"/>
          <w:szCs w:val="28"/>
          <w:rtl/>
          <w:lang w:val="en-US"/>
        </w:rPr>
        <w:t xml:space="preserve"> أَقُولُ لَكُمْ: إِنْ كَانَ أَحَدٌ يَحْفَظُ كَلاَمِي فَلَنْ يَرَى الْمَوْتَ إِلَى الأَبَدِ».</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إنها فكرة عملاقة، لأنه إلى ذلك الحين معظم الناس ماتوا في الجسد.</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وكما لو كانت هنالك حاجة لتصديق آخر على أماننا الأبدي من بعد الموت، يكتب بولس في رسالة رومية:</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رومية 8: 38: </w:t>
      </w:r>
      <w:r w:rsidRPr="00341194">
        <w:rPr>
          <w:rFonts w:ascii="Sakkal Majalla" w:hAnsi="Sakkal Majalla" w:cs="Sakkal Majalla"/>
          <w:sz w:val="28"/>
          <w:szCs w:val="28"/>
          <w:rtl/>
          <w:lang w:val="en-US"/>
        </w:rPr>
        <w:t xml:space="preserve">فَإِنِّي مُتَيَقِّنٌ أَنَّهُ لاَ مَوْتَ وَلاَ حَيَاةَ، </w:t>
      </w:r>
      <w:r>
        <w:rPr>
          <w:rFonts w:ascii="Sakkal Majalla" w:hAnsi="Sakkal Majalla" w:cs="Sakkal Majalla" w:hint="cs"/>
          <w:sz w:val="28"/>
          <w:szCs w:val="28"/>
          <w:rtl/>
          <w:lang w:val="en-US"/>
        </w:rPr>
        <w:t xml:space="preserve">... </w:t>
      </w:r>
      <w:r w:rsidRPr="00341194">
        <w:rPr>
          <w:rFonts w:ascii="Sakkal Majalla" w:hAnsi="Sakkal Majalla" w:cs="Sakkal Majalla"/>
          <w:sz w:val="28"/>
          <w:szCs w:val="28"/>
          <w:rtl/>
          <w:lang w:val="en-US"/>
        </w:rPr>
        <w:t>تَقْدِرُ أَنْ تَفْصِلَنَا عَنْ مَحَبَّةِ اللهِ الَّتِي فِي الْمَسِيحِ يَسُوعَ رَبِّنَا.</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لكن كذلك من رسائل السبع كنائس في آسيا (رؤيا 2 و 3) يظهر المصير المبارك العتيد لتلاميذ يسوع:</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رؤيا 2: 7: </w:t>
      </w:r>
      <w:r w:rsidRPr="00341194">
        <w:rPr>
          <w:rFonts w:ascii="Sakkal Majalla" w:hAnsi="Sakkal Majalla" w:cs="Sakkal Majalla"/>
          <w:sz w:val="28"/>
          <w:szCs w:val="28"/>
          <w:rtl/>
          <w:lang w:val="en-US"/>
        </w:rPr>
        <w:t>مَنْ يَغْلِبُ فَسَأُعْطِيهِ أَنْ يَأْكُلَ مِنْ شَجَرَةِ الْحَيَاةِ الَّتِي فِي وَسَطِ فِرْدَوْسِ اللهِ».</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رؤيا 3: 5: </w:t>
      </w:r>
      <w:r w:rsidRPr="00341194">
        <w:rPr>
          <w:rFonts w:ascii="Sakkal Majalla" w:hAnsi="Sakkal Majalla" w:cs="Sakkal Majalla"/>
          <w:sz w:val="28"/>
          <w:szCs w:val="28"/>
          <w:rtl/>
          <w:lang w:val="en-US"/>
        </w:rPr>
        <w:t>مَنْ يَغْلِبُ فَذلِكَ سَيَلْبَسُ ثِيَابًا بِيضًا، وَلَنْ أَمْحُوَ اسْمَهُ مِنْ سِفْرِ الْحَيَاةِ، وَسَأَعْتَرِفُ بِاسْمِهِ أَمَامَ أَبِي وَأَمَامَ مَلاَئِكَتِهِ.</w:t>
      </w:r>
    </w:p>
    <w:p w:rsidR="00341194" w:rsidRDefault="00341194" w:rsidP="00341194">
      <w:pPr>
        <w:pStyle w:val="ListParagraph"/>
        <w:numPr>
          <w:ilvl w:val="0"/>
          <w:numId w:val="1"/>
        </w:numPr>
        <w:bidi/>
        <w:jc w:val="both"/>
        <w:rPr>
          <w:rFonts w:ascii="Sakkal Majalla" w:hAnsi="Sakkal Majalla" w:cs="Sakkal Majalla"/>
          <w:sz w:val="28"/>
          <w:szCs w:val="28"/>
          <w:lang w:val="en-US"/>
        </w:rPr>
      </w:pPr>
      <w:r>
        <w:rPr>
          <w:rFonts w:ascii="Sakkal Majalla" w:hAnsi="Sakkal Majalla" w:cs="Sakkal Majalla" w:hint="cs"/>
          <w:sz w:val="28"/>
          <w:szCs w:val="28"/>
          <w:rtl/>
          <w:lang w:val="en-US"/>
        </w:rPr>
        <w:t xml:space="preserve">رؤيا 3: 12: </w:t>
      </w:r>
      <w:r w:rsidRPr="00341194">
        <w:rPr>
          <w:rFonts w:ascii="Sakkal Majalla" w:hAnsi="Sakkal Majalla" w:cs="Sakkal Majalla"/>
          <w:sz w:val="28"/>
          <w:szCs w:val="28"/>
          <w:rtl/>
          <w:lang w:val="en-US"/>
        </w:rPr>
        <w:t>مَنْ يَغْلِبُ فَسَأَجْعَلُهُ عَمُودًا فِي هَيْكَلِ إِلهِي، وَلاَ يَعُودُ يَخْرُجُ إِلَى خَارِجٍ، وَأَكْتُبُ عَلَيْهِ اسْمَ إِلهِي، وَاسْمَ مَدِينَةِ إِلهِي، أُورُشَلِيمَ الْجَدِيدَةِ النَّازِلَةِ مِنَ السَّمَاءِ مِنْ عِنْدِ إِلهِي، وَاسْمِي الْجَدِيدَ.</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وفي رؤيا 4 و5 نجد المؤمنين وهم ممثلين في الـ 24 شيخًا، في المجد السماوي.</w:t>
      </w:r>
    </w:p>
    <w:p w:rsidR="00341194" w:rsidRDefault="00341194" w:rsidP="0034119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وإلى هذا الحد </w:t>
      </w:r>
      <w:r w:rsidRPr="00341194">
        <w:rPr>
          <w:rFonts w:ascii="Sakkal Majalla" w:hAnsi="Sakkal Majalla" w:cs="Sakkal Majalla"/>
          <w:sz w:val="28"/>
          <w:szCs w:val="28"/>
          <w:rtl/>
          <w:lang w:val="en-US"/>
        </w:rPr>
        <w:t>أترك الأمر</w:t>
      </w:r>
      <w:r>
        <w:rPr>
          <w:rFonts w:ascii="Sakkal Majalla" w:hAnsi="Sakkal Majalla" w:cs="Sakkal Majalla" w:hint="cs"/>
          <w:sz w:val="28"/>
          <w:szCs w:val="28"/>
          <w:rtl/>
          <w:lang w:val="en-US"/>
        </w:rPr>
        <w:t>. أرجو أني لم أترك أي موضع كتابي هام لم أذكره. في الختام: دعونا نحن المسيحيين أن نكون شاكرين بأن الرب يسوع استأمن مستقبلنا إلى الأبد حتى وإن كنا سنموت.</w:t>
      </w:r>
    </w:p>
    <w:p w:rsidR="00BE18EA" w:rsidRDefault="00BE18EA" w:rsidP="00BE18EA">
      <w:pPr>
        <w:bidi/>
        <w:jc w:val="both"/>
        <w:rPr>
          <w:rFonts w:ascii="Sakkal Majalla" w:hAnsi="Sakkal Majalla" w:cs="Sakkal Majalla"/>
          <w:sz w:val="28"/>
          <w:szCs w:val="28"/>
          <w:rtl/>
          <w:lang w:val="en-US"/>
        </w:rPr>
      </w:pPr>
    </w:p>
    <w:p w:rsidR="00BE18EA" w:rsidRPr="00BE18EA" w:rsidRDefault="00BE18EA" w:rsidP="00BE18EA">
      <w:pPr>
        <w:bidi/>
        <w:jc w:val="center"/>
        <w:rPr>
          <w:rFonts w:ascii="Sakkal Majalla" w:hAnsi="Sakkal Majalla" w:cs="Sakkal Majalla" w:hint="cs"/>
          <w:sz w:val="28"/>
          <w:szCs w:val="28"/>
          <w:rtl/>
          <w:lang w:val="en-US"/>
        </w:rPr>
      </w:pPr>
      <w:r w:rsidRPr="00BE18EA">
        <w:rPr>
          <w:rFonts w:ascii="Sakkal Majalla" w:hAnsi="Sakkal Majalla" w:cs="Sakkal Majalla" w:hint="cs"/>
          <w:sz w:val="28"/>
          <w:szCs w:val="28"/>
          <w:rtl/>
          <w:lang w:val="en-US"/>
        </w:rPr>
        <w:t>-</w:t>
      </w:r>
      <w:r>
        <w:rPr>
          <w:rFonts w:ascii="Sakkal Majalla" w:hAnsi="Sakkal Majalla" w:cs="Sakkal Majalla" w:hint="cs"/>
          <w:sz w:val="28"/>
          <w:szCs w:val="28"/>
          <w:rtl/>
          <w:lang w:val="en-US"/>
        </w:rPr>
        <w:t xml:space="preserve"> </w:t>
      </w:r>
      <w:r w:rsidRPr="00BE18EA">
        <w:rPr>
          <w:rFonts w:ascii="Sakkal Majalla" w:hAnsi="Sakkal Majalla" w:cs="Sakkal Majalla" w:hint="cs"/>
          <w:sz w:val="28"/>
          <w:szCs w:val="28"/>
          <w:rtl/>
          <w:lang w:val="en-US"/>
        </w:rPr>
        <w:t>تم -</w:t>
      </w:r>
      <w:bookmarkStart w:id="0" w:name="_GoBack"/>
      <w:bookmarkEnd w:id="0"/>
    </w:p>
    <w:sectPr w:rsidR="00BE18EA" w:rsidRPr="00BE1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B6CFA"/>
    <w:multiLevelType w:val="hybridMultilevel"/>
    <w:tmpl w:val="9A30B2C0"/>
    <w:lvl w:ilvl="0" w:tplc="4852F62C">
      <w:numFmt w:val="bullet"/>
      <w:lvlText w:val="-"/>
      <w:lvlJc w:val="left"/>
      <w:pPr>
        <w:ind w:left="720" w:hanging="360"/>
      </w:pPr>
      <w:rPr>
        <w:rFonts w:ascii="Sakkal Majalla" w:eastAsiaTheme="minorHAnsi" w:hAnsi="Sakkal Majalla"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6082AAC"/>
    <w:multiLevelType w:val="hybridMultilevel"/>
    <w:tmpl w:val="AB6CD188"/>
    <w:lvl w:ilvl="0" w:tplc="52B8D902">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4"/>
    <w:rsid w:val="00341194"/>
    <w:rsid w:val="00614739"/>
    <w:rsid w:val="00BE18E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7D6E"/>
  <w15:chartTrackingRefBased/>
  <w15:docId w15:val="{35BB4990-3B7E-4FD4-9E0F-CC838EA8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194"/>
    <w:pPr>
      <w:ind w:left="720"/>
      <w:contextualSpacing/>
    </w:pPr>
  </w:style>
  <w:style w:type="character" w:styleId="Hyperlink">
    <w:name w:val="Hyperlink"/>
    <w:basedOn w:val="DefaultParagraphFont"/>
    <w:uiPriority w:val="99"/>
    <w:unhideWhenUsed/>
    <w:rsid w:val="00341194"/>
    <w:rPr>
      <w:color w:val="0563C1" w:themeColor="hyperlink"/>
      <w:u w:val="single"/>
    </w:rPr>
  </w:style>
  <w:style w:type="character" w:styleId="UnresolvedMention">
    <w:name w:val="Unresolved Mention"/>
    <w:basedOn w:val="DefaultParagraphFont"/>
    <w:uiPriority w:val="99"/>
    <w:semiHidden/>
    <w:unhideWhenUsed/>
    <w:rsid w:val="00341194"/>
    <w:rPr>
      <w:color w:val="605E5C"/>
      <w:shd w:val="clear" w:color="auto" w:fill="E1DFDD"/>
    </w:rPr>
  </w:style>
  <w:style w:type="character" w:styleId="FollowedHyperlink">
    <w:name w:val="FollowedHyperlink"/>
    <w:basedOn w:val="DefaultParagraphFont"/>
    <w:uiPriority w:val="99"/>
    <w:semiHidden/>
    <w:unhideWhenUsed/>
    <w:rsid w:val="003411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2020-06-19T21:14:00Z</dcterms:created>
  <dcterms:modified xsi:type="dcterms:W3CDTF">2020-06-19T22:01:00Z</dcterms:modified>
</cp:coreProperties>
</file>