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5C926" w14:textId="255F5A8A" w:rsidR="00614739" w:rsidRPr="003C22CC" w:rsidRDefault="003C22CC" w:rsidP="00E42B82">
      <w:pPr>
        <w:bidi/>
        <w:jc w:val="both"/>
        <w:rPr>
          <w:rStyle w:val="Hyperlink"/>
          <w:rtl/>
          <w:lang w:bidi="ar-EG"/>
        </w:rPr>
      </w:pPr>
      <w:r>
        <w:rPr>
          <w:rtl/>
          <w:lang w:bidi="ar-EG"/>
        </w:rPr>
        <w:fldChar w:fldCharType="begin"/>
      </w:r>
      <w:r>
        <w:rPr>
          <w:rtl/>
          <w:lang w:bidi="ar-EG"/>
        </w:rPr>
        <w:instrText xml:space="preserve"> </w:instrText>
      </w:r>
      <w:r>
        <w:rPr>
          <w:rFonts w:hint="cs"/>
          <w:lang w:bidi="ar-EG"/>
        </w:rPr>
        <w:instrText>HYPERLINK</w:instrText>
      </w:r>
      <w:r>
        <w:rPr>
          <w:rFonts w:hint="cs"/>
          <w:rtl/>
          <w:lang w:bidi="ar-EG"/>
        </w:rPr>
        <w:instrText xml:space="preserve"> "</w:instrText>
      </w:r>
      <w:r>
        <w:rPr>
          <w:rFonts w:hint="cs"/>
          <w:lang w:bidi="ar-EG"/>
        </w:rPr>
        <w:instrText>https://www.bibelkommentare.de/kommentare/438/die-symbolische-lehre-der-stiftshuette</w:instrText>
      </w:r>
      <w:r>
        <w:rPr>
          <w:rFonts w:hint="cs"/>
          <w:rtl/>
          <w:lang w:bidi="ar-EG"/>
        </w:rPr>
        <w:instrText>"</w:instrText>
      </w:r>
      <w:r>
        <w:rPr>
          <w:rtl/>
          <w:lang w:bidi="ar-EG"/>
        </w:rPr>
        <w:instrText xml:space="preserve"> </w:instrText>
      </w:r>
      <w:r>
        <w:rPr>
          <w:rtl/>
          <w:lang w:bidi="ar-EG"/>
        </w:rPr>
      </w:r>
      <w:r>
        <w:rPr>
          <w:rtl/>
          <w:lang w:bidi="ar-EG"/>
        </w:rPr>
        <w:fldChar w:fldCharType="separate"/>
      </w:r>
      <w:r w:rsidR="00E42B82" w:rsidRPr="003C22CC">
        <w:rPr>
          <w:rStyle w:val="Hyperlink"/>
          <w:rFonts w:hint="cs"/>
          <w:rtl/>
          <w:lang w:bidi="ar-EG"/>
        </w:rPr>
        <w:t>التعليم الرمزي لخيمة الاجتماع</w:t>
      </w:r>
    </w:p>
    <w:p w14:paraId="18FA2D71" w14:textId="51DD4157" w:rsidR="00E42B82" w:rsidRDefault="003C22CC" w:rsidP="00E42B82">
      <w:pPr>
        <w:bidi/>
        <w:jc w:val="both"/>
        <w:rPr>
          <w:rtl/>
          <w:lang w:bidi="ar-EG"/>
        </w:rPr>
      </w:pPr>
      <w:r>
        <w:rPr>
          <w:rtl/>
          <w:lang w:bidi="ar-EG"/>
        </w:rPr>
        <w:fldChar w:fldCharType="end"/>
      </w:r>
      <w:r w:rsidR="00E42B82" w:rsidRPr="00E42B82">
        <w:rPr>
          <w:lang w:bidi="ar-EG"/>
        </w:rPr>
        <w:t>A.J. Pollock</w:t>
      </w:r>
    </w:p>
    <w:p w14:paraId="2A7F7364" w14:textId="222A1138" w:rsidR="003C22CC" w:rsidRDefault="003C22CC" w:rsidP="003C22CC">
      <w:pPr>
        <w:bidi/>
        <w:jc w:val="both"/>
        <w:rPr>
          <w:rtl/>
          <w:lang w:bidi="ar-EG"/>
        </w:rPr>
      </w:pPr>
      <w:r>
        <w:rPr>
          <w:rFonts w:hint="cs"/>
          <w:rtl/>
          <w:lang w:bidi="ar-EG"/>
        </w:rPr>
        <w:t>مقدمة</w:t>
      </w:r>
    </w:p>
    <w:p w14:paraId="42E358E7" w14:textId="7DDAC93A" w:rsidR="003C22CC" w:rsidRDefault="003C22CC" w:rsidP="003C22CC">
      <w:pPr>
        <w:bidi/>
        <w:jc w:val="both"/>
        <w:rPr>
          <w:rtl/>
          <w:lang w:bidi="ar-EG"/>
        </w:rPr>
      </w:pPr>
      <w:r>
        <w:rPr>
          <w:rFonts w:hint="cs"/>
          <w:rtl/>
          <w:lang w:bidi="ar-EG"/>
        </w:rPr>
        <w:t xml:space="preserve">هنالك طريقتان يستطيع المرء أن يدنو بهما من هذا الموضوع. هنالك الطريقة العصرية، التي لم تعُد ترى في تعليم خيمة الاجتماع في البرية إلا تصويرًا جافًا لسجود تقليدي خالي من المعاني لشعب بدائي قبل مئات من السنين. على سبيل المثال كتب </w:t>
      </w:r>
      <w:r w:rsidR="006D5836">
        <w:rPr>
          <w:rFonts w:hint="cs"/>
          <w:rtl/>
          <w:lang w:bidi="ar-EG"/>
        </w:rPr>
        <w:t>عالمٌ</w:t>
      </w:r>
      <w:r>
        <w:rPr>
          <w:rFonts w:hint="cs"/>
          <w:rtl/>
          <w:lang w:bidi="ar-EG"/>
        </w:rPr>
        <w:t xml:space="preserve"> في القسم اللاهوتي: "أية قيمة يمكننا أن نجد للحياة الروحية في التفاصيل الليتورجية والطقسية للخيمة وخدمتها؟" (</w:t>
      </w:r>
      <w:r w:rsidRPr="003C22CC">
        <w:rPr>
          <w:lang w:bidi="ar-EG"/>
        </w:rPr>
        <w:t>Peak’s Kommentar</w:t>
      </w:r>
      <w:r>
        <w:rPr>
          <w:rFonts w:hint="cs"/>
          <w:rtl/>
          <w:lang w:bidi="ar-EG"/>
        </w:rPr>
        <w:t xml:space="preserve"> صفحة 5)</w:t>
      </w:r>
    </w:p>
    <w:p w14:paraId="77162ADB" w14:textId="5ECD6B1B" w:rsidR="003C22CC" w:rsidRDefault="003C22CC" w:rsidP="003C22CC">
      <w:pPr>
        <w:bidi/>
        <w:jc w:val="both"/>
        <w:rPr>
          <w:rtl/>
          <w:lang w:bidi="ar-EG"/>
        </w:rPr>
      </w:pPr>
      <w:r>
        <w:rPr>
          <w:rFonts w:hint="cs"/>
          <w:rtl/>
          <w:lang w:bidi="ar-EG"/>
        </w:rPr>
        <w:t>من الجانب الآخر اعترف الكاتب القدير للمؤلفات المسيحية المفيدة، الراقد سير روبرت أندرسون، كيف أقنعه المعنى الروحي للناموس الطقسي بوحي الكتاب العجيب وأثر به بشكل واضح ليصير مسيحيًا حازمًا.</w:t>
      </w:r>
    </w:p>
    <w:p w14:paraId="0992E1E0" w14:textId="5926B0B3" w:rsidR="006D5836" w:rsidRDefault="006D5836" w:rsidP="006D5836">
      <w:pPr>
        <w:bidi/>
        <w:jc w:val="both"/>
        <w:rPr>
          <w:rtl/>
          <w:lang w:bidi="ar-EG"/>
        </w:rPr>
      </w:pPr>
      <w:r>
        <w:rPr>
          <w:rFonts w:hint="cs"/>
          <w:rtl/>
          <w:lang w:bidi="ar-EG"/>
        </w:rPr>
        <w:t>إننا نتعجب من قصر النظر الروحي الذي كان لهذا العالِم المتحضر، عندما نقرأ رسالة العبرانيين. هناك نجد موسى مقابل المسيح، كما وهارون أيضًأ. وملكي صادق الشخصية الغامضة مقابل المسيح. القرابين التي لا تأثير لها التي كانت على المذابح اليهودية مقابل ذبيحة المسيح الكفارية العظيمة. إن الكتاب يصف هذه الصور في العهد القديم على أنها:</w:t>
      </w:r>
    </w:p>
    <w:p w14:paraId="3C0F33E0" w14:textId="0E7E118E" w:rsidR="006D5836" w:rsidRDefault="006D5836" w:rsidP="006D5836">
      <w:pPr>
        <w:bidi/>
        <w:jc w:val="both"/>
        <w:rPr>
          <w:rtl/>
          <w:lang w:bidi="ar-EG"/>
        </w:rPr>
      </w:pPr>
      <w:r>
        <w:rPr>
          <w:rFonts w:hint="cs"/>
          <w:rtl/>
          <w:lang w:bidi="ar-EG"/>
        </w:rPr>
        <w:t>"</w:t>
      </w:r>
      <w:r w:rsidRPr="006D5836">
        <w:rPr>
          <w:rtl/>
        </w:rPr>
        <w:t xml:space="preserve"> </w:t>
      </w:r>
      <w:r w:rsidRPr="006D5836">
        <w:rPr>
          <w:rtl/>
          <w:lang w:bidi="ar-EG"/>
        </w:rPr>
        <w:t>شِبْهَ السَّمَاوِيَّاتِ وَظِلَّهَا</w:t>
      </w:r>
      <w:r>
        <w:rPr>
          <w:rFonts w:hint="cs"/>
          <w:rtl/>
          <w:lang w:bidi="ar-EG"/>
        </w:rPr>
        <w:t>" (عبرانيين 8: 5). "</w:t>
      </w:r>
      <w:r w:rsidRPr="006D5836">
        <w:rPr>
          <w:rtl/>
        </w:rPr>
        <w:t xml:space="preserve"> </w:t>
      </w:r>
      <w:r w:rsidRPr="006D5836">
        <w:rPr>
          <w:rtl/>
          <w:lang w:bidi="ar-EG"/>
        </w:rPr>
        <w:t>أَمْثِلَةَ الأَشْيَاءِ الَّتِي فِي السَّمَاوَاتِ</w:t>
      </w:r>
      <w:r>
        <w:rPr>
          <w:rFonts w:hint="cs"/>
          <w:rtl/>
          <w:lang w:bidi="ar-EG"/>
        </w:rPr>
        <w:t>" (عبرانيين 9: 23). "</w:t>
      </w:r>
      <w:r w:rsidRPr="006D5836">
        <w:rPr>
          <w:rtl/>
        </w:rPr>
        <w:t xml:space="preserve"> </w:t>
      </w:r>
      <w:r w:rsidRPr="006D5836">
        <w:rPr>
          <w:rtl/>
          <w:lang w:bidi="ar-EG"/>
        </w:rPr>
        <w:t>ظِلُّ الْخَيْرَاتِ الْعَتِيدَةِ</w:t>
      </w:r>
      <w:r>
        <w:rPr>
          <w:rFonts w:hint="cs"/>
          <w:rtl/>
          <w:lang w:bidi="ar-EG"/>
        </w:rPr>
        <w:t>" (عبرانيين 10: 1). "</w:t>
      </w:r>
      <w:r w:rsidRPr="006D5836">
        <w:rPr>
          <w:rtl/>
        </w:rPr>
        <w:t xml:space="preserve"> </w:t>
      </w:r>
      <w:r w:rsidRPr="006D5836">
        <w:rPr>
          <w:rtl/>
          <w:lang w:bidi="ar-EG"/>
        </w:rPr>
        <w:t>وَفِي هَيْكَلِهِ الْكُلُّ قَائِلٌ: «مَجْدٌ».</w:t>
      </w:r>
      <w:r>
        <w:rPr>
          <w:rFonts w:hint="cs"/>
          <w:rtl/>
          <w:lang w:bidi="ar-EG"/>
        </w:rPr>
        <w:t>" (مزمور 29: 9).</w:t>
      </w:r>
    </w:p>
    <w:p w14:paraId="5E446892" w14:textId="6BB18679" w:rsidR="006D5836" w:rsidRDefault="006D5836" w:rsidP="006D5836">
      <w:pPr>
        <w:bidi/>
        <w:jc w:val="both"/>
        <w:rPr>
          <w:rtl/>
          <w:lang w:bidi="ar-EG"/>
        </w:rPr>
      </w:pPr>
      <w:r>
        <w:rPr>
          <w:rFonts w:hint="cs"/>
          <w:rtl/>
          <w:lang w:bidi="ar-EG"/>
        </w:rPr>
        <w:t xml:space="preserve">ما نوع النظارة التي كان يرتديها العالِم، عندما قرأ هذه العبارات الصريحة؟ إننا لن نستنتج إلا بأنه فشل في رؤية جمال الصور، لأنه لم يعرف مجد مثالها </w:t>
      </w:r>
      <w:r>
        <w:rPr>
          <w:rtl/>
          <w:lang w:bidi="ar-EG"/>
        </w:rPr>
        <w:t>–</w:t>
      </w:r>
      <w:r>
        <w:rPr>
          <w:rFonts w:hint="cs"/>
          <w:rtl/>
          <w:lang w:bidi="ar-EG"/>
        </w:rPr>
        <w:t xml:space="preserve"> ربنا يسوع المسيح. إن الكتاب يلخص هذا بكلمة واحدة:</w:t>
      </w:r>
    </w:p>
    <w:p w14:paraId="1480CEBD" w14:textId="6032F803" w:rsidR="006D5836" w:rsidRDefault="006D5836" w:rsidP="006D5836">
      <w:pPr>
        <w:bidi/>
        <w:jc w:val="both"/>
        <w:rPr>
          <w:rtl/>
          <w:lang w:bidi="ar-EG"/>
        </w:rPr>
      </w:pPr>
      <w:r>
        <w:rPr>
          <w:rFonts w:hint="cs"/>
          <w:rtl/>
          <w:lang w:bidi="ar-EG"/>
        </w:rPr>
        <w:t>"</w:t>
      </w:r>
      <w:r w:rsidRPr="006D5836">
        <w:rPr>
          <w:rtl/>
          <w:lang w:bidi="ar-EG"/>
        </w:rPr>
        <w:t xml:space="preserve"> 17 الَّتِي هِيَ ظِلُّ الأُمُورِ الْعَتِيدَةِ، وَأَمَّا الْجَسَدُ </w:t>
      </w:r>
      <w:r>
        <w:rPr>
          <w:rFonts w:hint="cs"/>
          <w:rtl/>
          <w:lang w:bidi="ar-EG"/>
        </w:rPr>
        <w:t xml:space="preserve">(أو الجوهر، عكس الظل) </w:t>
      </w:r>
      <w:r w:rsidRPr="006D5836">
        <w:rPr>
          <w:rtl/>
          <w:lang w:bidi="ar-EG"/>
        </w:rPr>
        <w:t>فَلِلْمَسِيحِ.</w:t>
      </w:r>
      <w:r>
        <w:rPr>
          <w:rFonts w:hint="cs"/>
          <w:rtl/>
          <w:lang w:bidi="ar-EG"/>
        </w:rPr>
        <w:t>" (كولوسي 2: 17).</w:t>
      </w:r>
    </w:p>
    <w:sectPr w:rsidR="006D5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B82"/>
    <w:rsid w:val="003C22CC"/>
    <w:rsid w:val="00614739"/>
    <w:rsid w:val="006D5836"/>
    <w:rsid w:val="00E42B8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A8FDC"/>
  <w15:chartTrackingRefBased/>
  <w15:docId w15:val="{CB8234CD-BD72-440B-B469-655B1F0C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2B82"/>
    <w:rPr>
      <w:color w:val="0563C1" w:themeColor="hyperlink"/>
      <w:u w:val="single"/>
    </w:rPr>
  </w:style>
  <w:style w:type="character" w:styleId="UnresolvedMention">
    <w:name w:val="Unresolved Mention"/>
    <w:basedOn w:val="DefaultParagraphFont"/>
    <w:uiPriority w:val="99"/>
    <w:semiHidden/>
    <w:unhideWhenUsed/>
    <w:rsid w:val="00E42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cp:revision>
  <dcterms:created xsi:type="dcterms:W3CDTF">2021-06-09T18:32:00Z</dcterms:created>
  <dcterms:modified xsi:type="dcterms:W3CDTF">2021-06-09T19:02:00Z</dcterms:modified>
</cp:coreProperties>
</file>