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0A0ECE">
      <w:pPr>
        <w:rPr>
          <w:rtl/>
          <w:lang w:bidi="ar-AE"/>
        </w:rPr>
      </w:pPr>
      <w:hyperlink r:id="rId4" w:history="1">
        <w:r w:rsidRPr="000A0ECE">
          <w:rPr>
            <w:rStyle w:val="Hyperlink"/>
            <w:rFonts w:hint="cs"/>
            <w:rtl/>
            <w:lang w:bidi="ar-AE"/>
          </w:rPr>
          <w:t>الذي معه المفتاح</w:t>
        </w:r>
      </w:hyperlink>
    </w:p>
    <w:p w:rsidR="00506DB3" w:rsidRDefault="00506DB3">
      <w:pPr>
        <w:rPr>
          <w:rtl/>
          <w:lang w:bidi="ar-AE"/>
        </w:rPr>
      </w:pPr>
      <w:r w:rsidRPr="00506DB3">
        <w:rPr>
          <w:lang w:bidi="ar-AE"/>
        </w:rPr>
        <w:t>Tim Hadley</w:t>
      </w:r>
      <w:bookmarkStart w:id="0" w:name="_GoBack"/>
      <w:bookmarkEnd w:id="0"/>
    </w:p>
    <w:p w:rsidR="000A0ECE" w:rsidRDefault="000A0ECE">
      <w:pPr>
        <w:rPr>
          <w:rtl/>
          <w:lang w:bidi="ar-AE"/>
        </w:rPr>
      </w:pPr>
      <w:r>
        <w:rPr>
          <w:rFonts w:hint="cs"/>
          <w:rtl/>
          <w:lang w:bidi="ar-AE"/>
        </w:rPr>
        <w:t>"</w:t>
      </w:r>
      <w:r w:rsidRPr="000A0ECE">
        <w:rPr>
          <w:rtl/>
          <w:lang w:bidi="ar-AE"/>
        </w:rPr>
        <w:t xml:space="preserve"> 18 قَرِيبٌ هُوَ الرَّبُّ مِنَ الْمُنْكَسِرِي الْقُلُوبِ، وَيُخَلِّصُ</w:t>
      </w:r>
      <w:r>
        <w:rPr>
          <w:rFonts w:hint="cs"/>
          <w:rtl/>
          <w:lang w:bidi="ar-AE"/>
        </w:rPr>
        <w:t xml:space="preserve"> (يعين)</w:t>
      </w:r>
      <w:r w:rsidRPr="000A0ECE">
        <w:rPr>
          <w:rtl/>
          <w:lang w:bidi="ar-AE"/>
        </w:rPr>
        <w:t xml:space="preserve"> الْمُنْسَحِقِي الرُّوحِ.</w:t>
      </w:r>
      <w:r>
        <w:rPr>
          <w:rFonts w:hint="cs"/>
          <w:rtl/>
          <w:lang w:bidi="ar-AE"/>
        </w:rPr>
        <w:t>" مزمور 34: 18</w:t>
      </w:r>
    </w:p>
    <w:p w:rsidR="000A0ECE" w:rsidRDefault="000A0ECE">
      <w:pPr>
        <w:rPr>
          <w:rtl/>
          <w:lang w:bidi="ar-AE"/>
        </w:rPr>
      </w:pPr>
      <w:r>
        <w:rPr>
          <w:rFonts w:hint="cs"/>
          <w:rtl/>
          <w:lang w:bidi="ar-AE"/>
        </w:rPr>
        <w:t xml:space="preserve">تبعد مدينة نايين عن كفرناحوم 25 ميلاً، سفر يوم على وجه التحديد. في لوقا 7: 11 </w:t>
      </w:r>
      <w:r>
        <w:rPr>
          <w:rtl/>
          <w:lang w:bidi="ar-AE"/>
        </w:rPr>
        <w:t>–</w:t>
      </w:r>
      <w:r>
        <w:rPr>
          <w:rFonts w:hint="cs"/>
          <w:rtl/>
          <w:lang w:bidi="ar-AE"/>
        </w:rPr>
        <w:t xml:space="preserve"> 17 نرى كيف أن الرب ذهب هناك ورافقته جموع كبيرة من الناس. حينما اقتربوا من المدينة، خرج جمع كبير من الناس من المدينة؛ لقد كانت جنازة. وقد حملوا رجلاً ميتًا. </w:t>
      </w:r>
      <w:r w:rsidR="00E05F96">
        <w:rPr>
          <w:rFonts w:hint="cs"/>
          <w:rtl/>
          <w:lang w:bidi="ar-AE"/>
        </w:rPr>
        <w:t xml:space="preserve">وإذ كان اليهود يدفنون موتاهم في ذلك اليوم (تثنية 21:23؛ أعمال الرسل 5: 5 </w:t>
      </w:r>
      <w:r w:rsidR="00E05F96">
        <w:rPr>
          <w:rtl/>
          <w:lang w:bidi="ar-AE"/>
        </w:rPr>
        <w:t>–</w:t>
      </w:r>
      <w:r w:rsidR="00E05F96">
        <w:rPr>
          <w:rFonts w:hint="cs"/>
          <w:rtl/>
          <w:lang w:bidi="ar-AE"/>
        </w:rPr>
        <w:t xml:space="preserve"> 10)، يمكننا أن نستنتج بأن هذا الرجل لم يمر عليه الكثير من الوقت منذ موته. الذي مات كان وحيد أرملة وهي كانت حزينة جدًا! هي كانت تعاني! لكن الرب يسوع كان قريبًا!</w:t>
      </w:r>
    </w:p>
    <w:p w:rsidR="00E05F96" w:rsidRDefault="00E05F96">
      <w:pPr>
        <w:rPr>
          <w:rtl/>
          <w:lang w:bidi="ar-AE"/>
        </w:rPr>
      </w:pPr>
      <w:r>
        <w:rPr>
          <w:rFonts w:hint="cs"/>
          <w:rtl/>
          <w:lang w:bidi="ar-AE"/>
        </w:rPr>
        <w:t>إننا في هذا المقطع لا نرى فقط حشدين من الناس، وإنما أيضًا ابنين. الواحد هو وحيد أرملة باكية،</w:t>
      </w:r>
      <w:r w:rsidR="00A844FB">
        <w:rPr>
          <w:rFonts w:hint="cs"/>
          <w:rtl/>
          <w:lang w:bidi="ar-AE"/>
        </w:rPr>
        <w:t xml:space="preserve"> والآخر ابن الله الوحيد. ابنٌ كان ميتًا، والابن الآخر كان القيامة والحياة! إننا نرى هنا أيضًا متألمين يتقابلان معًا: المرأة التي حملت همومها وكربها، والرب يسوع، الذي هو رجل الأوجاع ومختبر الحزن (أشعياء 53: 3، 4). هو مَن استطاع أن يشعر بحزن المرأة ...</w:t>
      </w:r>
    </w:p>
    <w:p w:rsidR="00A844FB" w:rsidRDefault="00A844FB">
      <w:pPr>
        <w:rPr>
          <w:rtl/>
          <w:lang w:bidi="ar-AE"/>
        </w:rPr>
      </w:pPr>
      <w:r>
        <w:rPr>
          <w:rFonts w:hint="cs"/>
          <w:rtl/>
          <w:lang w:bidi="ar-AE"/>
        </w:rPr>
        <w:t>في ذلك اليوم أيضًا كانا عدوان في الطريق: الموت، ومَن له سلطان على الموت. الرب يسوع غلب الموت، العدو الأخير، الذي يفصلنا عن جسدنا ويفصل نفوسنا عن الله إن كنا لا نعرف الرب يسوع المسيح مخلصًا لنا! لكن كيفما غلب الرب يسوع الموت بإقامته ابن هذه المرأة الباكبة بكلمة بسيطة، هكذا أيضًا غلب وقهر مَن له سلطان الموت بدخوله الموت من أجلنا (عبرانيين 2: 14).</w:t>
      </w:r>
    </w:p>
    <w:p w:rsidR="00A844FB" w:rsidRDefault="00A844FB">
      <w:pPr>
        <w:rPr>
          <w:rFonts w:hint="cs"/>
          <w:lang w:bidi="ar-AE"/>
        </w:rPr>
      </w:pPr>
      <w:r>
        <w:rPr>
          <w:rFonts w:hint="cs"/>
          <w:rtl/>
          <w:lang w:bidi="ar-AE"/>
        </w:rPr>
        <w:t>الرب يسوع يقول منتصرًا: "</w:t>
      </w:r>
      <w:r w:rsidR="00506DB3" w:rsidRPr="00506DB3">
        <w:rPr>
          <w:rtl/>
          <w:lang w:bidi="ar-AE"/>
        </w:rPr>
        <w:t>وَالْحَيُّ. وَكُنْتُ مَيْتًا، وَهَا أَنَا حَيٌّ إِلَى أَبَدِ الآبِدِينَ! آمِينَ. وَلِي مَفَاتِيحُ الْهَاوِيَةِ وَالْمَوْتِ.</w:t>
      </w:r>
      <w:r w:rsidR="00506DB3">
        <w:rPr>
          <w:rFonts w:hint="cs"/>
          <w:rtl/>
          <w:lang w:bidi="ar-AE"/>
        </w:rPr>
        <w:t>" (رؤيا 1: 18).</w:t>
      </w:r>
    </w:p>
    <w:sectPr w:rsidR="00A844F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CE"/>
    <w:rsid w:val="000A0ECE"/>
    <w:rsid w:val="000C5A11"/>
    <w:rsid w:val="003056E7"/>
    <w:rsid w:val="00506DB3"/>
    <w:rsid w:val="00A844FB"/>
    <w:rsid w:val="00BA192E"/>
    <w:rsid w:val="00C442EF"/>
    <w:rsid w:val="00E05F96"/>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D09E"/>
  <w15:chartTrackingRefBased/>
  <w15:docId w15:val="{D5A6059D-0BFA-409D-B9BA-3EB9396A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0ECE"/>
    <w:rPr>
      <w:color w:val="0563C1" w:themeColor="hyperlink"/>
      <w:u w:val="single"/>
    </w:rPr>
  </w:style>
  <w:style w:type="character" w:styleId="UnresolvedMention">
    <w:name w:val="Unresolved Mention"/>
    <w:basedOn w:val="DefaultParagraphFont"/>
    <w:uiPriority w:val="99"/>
    <w:semiHidden/>
    <w:unhideWhenUsed/>
    <w:rsid w:val="000A0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797/der-der-den-schluessel-h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cp:revision>
  <dcterms:created xsi:type="dcterms:W3CDTF">2022-01-27T06:25:00Z</dcterms:created>
  <dcterms:modified xsi:type="dcterms:W3CDTF">2022-01-27T07:54:00Z</dcterms:modified>
</cp:coreProperties>
</file>