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34EE8" w14:textId="77777777" w:rsidR="00614739" w:rsidRDefault="00AA0069" w:rsidP="00AA0069">
      <w:pPr>
        <w:bidi/>
        <w:jc w:val="both"/>
        <w:rPr>
          <w:rtl/>
          <w:lang w:bidi="ar-EG"/>
        </w:rPr>
      </w:pPr>
      <w:hyperlink r:id="rId5" w:history="1">
        <w:r w:rsidRPr="00AA0069">
          <w:rPr>
            <w:rStyle w:val="Hyperlink"/>
            <w:rFonts w:hint="cs"/>
            <w:rtl/>
            <w:lang w:bidi="ar-EG"/>
          </w:rPr>
          <w:t>مجد الابن في يوحنا 6</w:t>
        </w:r>
      </w:hyperlink>
    </w:p>
    <w:p w14:paraId="4596FCF6" w14:textId="77777777" w:rsidR="00AA0069" w:rsidRDefault="00AA0069" w:rsidP="00AA0069">
      <w:pPr>
        <w:bidi/>
        <w:jc w:val="both"/>
        <w:rPr>
          <w:rtl/>
          <w:lang w:bidi="ar-EG"/>
        </w:rPr>
      </w:pPr>
      <w:r>
        <w:rPr>
          <w:rFonts w:hint="cs"/>
          <w:rtl/>
          <w:lang w:bidi="ar-EG"/>
        </w:rPr>
        <w:t xml:space="preserve">يسوع المسيح </w:t>
      </w:r>
      <w:r>
        <w:rPr>
          <w:rtl/>
          <w:lang w:bidi="ar-EG"/>
        </w:rPr>
        <w:t>–</w:t>
      </w:r>
      <w:r>
        <w:rPr>
          <w:rFonts w:hint="cs"/>
          <w:rtl/>
          <w:lang w:bidi="ar-EG"/>
        </w:rPr>
        <w:t xml:space="preserve"> مُرسَل الآب</w:t>
      </w:r>
    </w:p>
    <w:p w14:paraId="4C734BAC" w14:textId="77777777" w:rsidR="00AA0069" w:rsidRDefault="00AA0069" w:rsidP="00AA0069">
      <w:pPr>
        <w:bidi/>
        <w:jc w:val="both"/>
        <w:rPr>
          <w:rtl/>
          <w:lang w:bidi="ar-EG"/>
        </w:rPr>
      </w:pPr>
      <w:r w:rsidRPr="00AA0069">
        <w:rPr>
          <w:lang w:bidi="ar-EG"/>
        </w:rPr>
        <w:t>Philipp-Richard Schulz</w:t>
      </w:r>
    </w:p>
    <w:p w14:paraId="7E2AEB4F" w14:textId="77777777" w:rsidR="00AA0069" w:rsidRDefault="00AA0069" w:rsidP="00AA0069">
      <w:pPr>
        <w:bidi/>
        <w:jc w:val="both"/>
        <w:rPr>
          <w:rtl/>
          <w:lang w:bidi="ar-EG"/>
        </w:rPr>
      </w:pPr>
      <w:r>
        <w:rPr>
          <w:rFonts w:hint="cs"/>
          <w:rtl/>
          <w:lang w:bidi="ar-EG"/>
        </w:rPr>
        <w:t>تمهيد</w:t>
      </w:r>
    </w:p>
    <w:p w14:paraId="4F923022" w14:textId="77777777" w:rsidR="00AA0069" w:rsidRDefault="00AA0069" w:rsidP="00AA0069">
      <w:pPr>
        <w:bidi/>
        <w:jc w:val="both"/>
        <w:rPr>
          <w:rtl/>
          <w:lang w:bidi="ar-EG"/>
        </w:rPr>
      </w:pPr>
      <w:r>
        <w:rPr>
          <w:rFonts w:hint="cs"/>
          <w:rtl/>
          <w:lang w:bidi="ar-EG"/>
        </w:rPr>
        <w:t>بالأخص إنجيل يوحنا يرينا استعداد وعمل الرب يسوع ليتمم مشيئة الآب. كابن الآب الكامل أتى من المجد ليُري الناس الآبَ، ليتكلّم عنه ويُظهر ما تعنيه الشركة في حضن الآب. وفي الأخير مات، ليُحضر أناسًا إلى مثل هذه الشركة الحميمة مع الله الآب. في هذا يتكلم الرب في مواضع مختلفة، عن الدافع والموقف الذي تمم بهما هذه الخدمة.</w:t>
      </w:r>
    </w:p>
    <w:p w14:paraId="364D5AB3" w14:textId="77777777" w:rsidR="00AA0069" w:rsidRDefault="00AA0069" w:rsidP="00AA0069">
      <w:pPr>
        <w:bidi/>
        <w:jc w:val="both"/>
        <w:rPr>
          <w:rtl/>
          <w:lang w:bidi="ar-EG"/>
        </w:rPr>
      </w:pPr>
      <w:r>
        <w:rPr>
          <w:rFonts w:hint="cs"/>
          <w:rtl/>
          <w:lang w:bidi="ar-EG"/>
        </w:rPr>
        <w:t>أربع خواص جميلة في الرب يسوع</w:t>
      </w:r>
    </w:p>
    <w:p w14:paraId="509D5068" w14:textId="77777777" w:rsidR="00AA0069" w:rsidRDefault="00AA0069" w:rsidP="00AA0069">
      <w:pPr>
        <w:pStyle w:val="ListParagraph"/>
        <w:numPr>
          <w:ilvl w:val="0"/>
          <w:numId w:val="1"/>
        </w:numPr>
        <w:bidi/>
        <w:jc w:val="both"/>
        <w:rPr>
          <w:lang w:bidi="ar-EG"/>
        </w:rPr>
      </w:pPr>
      <w:r>
        <w:rPr>
          <w:rFonts w:hint="cs"/>
          <w:rtl/>
          <w:lang w:bidi="ar-EG"/>
        </w:rPr>
        <w:t>اعتماده على مَن أرسله</w:t>
      </w:r>
    </w:p>
    <w:p w14:paraId="3E227548" w14:textId="77777777" w:rsidR="00AA0069" w:rsidRDefault="00AA0069" w:rsidP="00AA0069">
      <w:pPr>
        <w:pStyle w:val="ListParagraph"/>
        <w:bidi/>
        <w:jc w:val="both"/>
        <w:rPr>
          <w:rtl/>
          <w:lang w:bidi="ar-EG"/>
        </w:rPr>
      </w:pPr>
      <w:r>
        <w:rPr>
          <w:rFonts w:hint="cs"/>
          <w:rtl/>
          <w:lang w:bidi="ar-EG"/>
        </w:rPr>
        <w:t>يوحنا 6: 11، 23:</w:t>
      </w:r>
    </w:p>
    <w:p w14:paraId="4AFA1A48" w14:textId="4E8E4063" w:rsidR="00AA0069" w:rsidRDefault="00AA0069" w:rsidP="00AA0069">
      <w:pPr>
        <w:pStyle w:val="ListParagraph"/>
        <w:bidi/>
        <w:jc w:val="both"/>
        <w:rPr>
          <w:rtl/>
          <w:lang w:bidi="ar-EG"/>
        </w:rPr>
      </w:pPr>
      <w:r>
        <w:rPr>
          <w:rFonts w:hint="cs"/>
          <w:rtl/>
          <w:lang w:bidi="ar-EG"/>
        </w:rPr>
        <w:t xml:space="preserve">من الممكن أن نتغاضى في قراءتنا عن هذين العددين. لأن العدد الأول له صيغة مشابهة كما هو في الإنجيليين الآخرين في سياق إطعام الخمسة آلاف. كما والعدد الثاني يبدو أنه ليس له أهمية أساسية خاصة؛ كذلك الأعداد يوحنا 6: 22 </w:t>
      </w:r>
      <w:r>
        <w:rPr>
          <w:rtl/>
          <w:lang w:bidi="ar-EG"/>
        </w:rPr>
        <w:t>–</w:t>
      </w:r>
      <w:r>
        <w:rPr>
          <w:rFonts w:hint="cs"/>
          <w:rtl/>
          <w:lang w:bidi="ar-EG"/>
        </w:rPr>
        <w:t xml:space="preserve"> 24، لأنها تحكي "فقط" كيف أن الجمع ابتدأ يطلب الرب في الطرف الآخر من البحيرة، ولا نجدها في الأناجيل الأخرى.</w:t>
      </w:r>
    </w:p>
    <w:p w14:paraId="77CF0ECD" w14:textId="77777777" w:rsidR="00AA0069" w:rsidRDefault="00AA0069" w:rsidP="00AA0069">
      <w:pPr>
        <w:pStyle w:val="ListParagraph"/>
        <w:bidi/>
        <w:jc w:val="both"/>
        <w:rPr>
          <w:rtl/>
          <w:lang w:bidi="ar-EG"/>
        </w:rPr>
      </w:pPr>
      <w:r>
        <w:rPr>
          <w:rFonts w:hint="cs"/>
          <w:rtl/>
          <w:lang w:bidi="ar-EG"/>
        </w:rPr>
        <w:t>لكن أليس من المدهش، بأنه بالأخص في إنجيل يوحنا، الذي نقرأ فيه بوجه خاص عن ابن الآب القدير والأزلي، يُشار مرتين بأن الرب شكر من أجل الخبز، قبل أن حصل عليه الشعب ليأكله؟ فبالأخص في عدد 23 كانت هذه المعلومة بلا أهمية أو معنى لوصف الأحداث.</w:t>
      </w:r>
    </w:p>
    <w:p w14:paraId="5D77B5B9" w14:textId="22248A29" w:rsidR="00AA0069" w:rsidRDefault="008E621B" w:rsidP="00AA0069">
      <w:pPr>
        <w:pStyle w:val="ListParagraph"/>
        <w:bidi/>
        <w:jc w:val="both"/>
        <w:rPr>
          <w:rtl/>
          <w:lang w:bidi="ar-EG"/>
        </w:rPr>
      </w:pPr>
      <w:r>
        <w:rPr>
          <w:rFonts w:hint="cs"/>
          <w:rtl/>
          <w:lang w:bidi="ar-EG"/>
        </w:rPr>
        <w:t xml:space="preserve">لقد كان من الممكن ببساطة أيضًا أن يكون الأمر دون أن يفقد أحد معلومة هامة في استمرارية الحدث: "واقتربت قوارب أخرى آتية من طبريا إلى المكان الذي أكلوا فيه خبزًا." إنه من الملفت للانتباه وبنفس الوقت رائع بأن الروح القدس كان قد انتبه بأن يوحنا قد حمل هذه الشبكة الأخرى </w:t>
      </w:r>
      <w:r>
        <w:rPr>
          <w:rtl/>
          <w:lang w:bidi="ar-EG"/>
        </w:rPr>
        <w:t>–</w:t>
      </w:r>
      <w:r>
        <w:rPr>
          <w:rFonts w:hint="cs"/>
          <w:rtl/>
          <w:lang w:bidi="ar-EG"/>
        </w:rPr>
        <w:t xml:space="preserve"> "من بعدما أن شكر الرب" </w:t>
      </w:r>
      <w:r>
        <w:rPr>
          <w:rtl/>
          <w:lang w:bidi="ar-EG"/>
        </w:rPr>
        <w:t>–</w:t>
      </w:r>
      <w:r>
        <w:rPr>
          <w:rFonts w:hint="cs"/>
          <w:rtl/>
          <w:lang w:bidi="ar-EG"/>
        </w:rPr>
        <w:t xml:space="preserve"> معه في إنجيله.</w:t>
      </w:r>
    </w:p>
    <w:p w14:paraId="38A91298" w14:textId="000631D1" w:rsidR="008E621B" w:rsidRDefault="008E621B" w:rsidP="008E621B">
      <w:pPr>
        <w:pStyle w:val="ListParagraph"/>
        <w:bidi/>
        <w:jc w:val="both"/>
        <w:rPr>
          <w:rtl/>
          <w:lang w:bidi="ar-EG"/>
        </w:rPr>
      </w:pPr>
      <w:r>
        <w:rPr>
          <w:rFonts w:hint="cs"/>
          <w:rtl/>
          <w:lang w:bidi="ar-EG"/>
        </w:rPr>
        <w:t>ما الذي نتعلمه من ذلك؟ لماذا هذه المعلومة لها أهميتها بالنسبة لنا؟ إذًا، هذه الإضافة "حينما/ من بعد أن شكر" فعلاً توضح أمرًا ما: ألا وهو الاعتمادية على أبيه، التي عاش فيها الرب يسوع في كل خدمته</w:t>
      </w:r>
      <w:r w:rsidR="00755E9A">
        <w:rPr>
          <w:rFonts w:hint="cs"/>
          <w:rtl/>
          <w:lang w:bidi="ar-EG"/>
        </w:rPr>
        <w:t>. هو مَن عاش في شركة مستديمة مع أبيه، استلم كل شيء، كل مقابلة، كل أعجوبة، من يد إلهه وبذلك جعل نفسه معتمدًا تمامًا على الواحد الذي أرسله. كما ولم يكن في فكره في حادثة الخبز بأن يندهش منه الناس. هو لم يُرِد بأن يندهشوا منه. هو وضّح في صلاته، بأنه عمل بأمرِ آخر وبالاعتماد على شخص آخر وانتظر منه، أي أبيه، كل شيء.</w:t>
      </w:r>
    </w:p>
    <w:p w14:paraId="08B1DB52" w14:textId="7ABB0DF5" w:rsidR="00755E9A" w:rsidRDefault="00755E9A" w:rsidP="00755E9A">
      <w:pPr>
        <w:pStyle w:val="ListParagraph"/>
        <w:bidi/>
        <w:jc w:val="both"/>
        <w:rPr>
          <w:rtl/>
          <w:lang w:bidi="ar-EG"/>
        </w:rPr>
      </w:pPr>
      <w:r>
        <w:rPr>
          <w:rFonts w:hint="cs"/>
          <w:rtl/>
          <w:lang w:bidi="ar-EG"/>
        </w:rPr>
        <w:t>هل لم يكن من حق الرب ببساطة أن يُقاسم الخبز بهذا الشكل؟ ألم يكن هو مَن يجعل الحبوب تنمو ومَن يُعطي الناس القدرة لتصنيعه؟ بالطبع كان هذا كامل حقه، لكنه لم يُرد أن يُظهر ذلك. بدلاً من هذا كانت عنده تلك الرغبة الوحيدة، بأن يُشير إلى الآب وأن يعظّمه.</w:t>
      </w:r>
    </w:p>
    <w:p w14:paraId="75135707" w14:textId="727E7F13" w:rsidR="00687F9A" w:rsidRDefault="00687F9A" w:rsidP="00687F9A">
      <w:pPr>
        <w:pStyle w:val="ListParagraph"/>
        <w:bidi/>
        <w:jc w:val="both"/>
        <w:rPr>
          <w:rtl/>
          <w:lang w:bidi="ar-EG"/>
        </w:rPr>
      </w:pPr>
      <w:r>
        <w:rPr>
          <w:rFonts w:hint="cs"/>
          <w:rtl/>
          <w:lang w:bidi="ar-EG"/>
        </w:rPr>
        <w:t xml:space="preserve">الرب لا يبحث عن </w:t>
      </w:r>
      <w:hyperlink r:id="rId6" w:anchor=":~:text=Nachdem%20die%20Menschen" w:history="1">
        <w:r w:rsidRPr="00687F9A">
          <w:rPr>
            <w:rStyle w:val="Hyperlink"/>
            <w:rFonts w:hint="cs"/>
            <w:rtl/>
            <w:lang w:bidi="ar-EG"/>
          </w:rPr>
          <w:t>كرامته</w:t>
        </w:r>
      </w:hyperlink>
    </w:p>
    <w:p w14:paraId="0AC1485F" w14:textId="77777777" w:rsidR="00687F9A" w:rsidRPr="00AA0069" w:rsidRDefault="00687F9A" w:rsidP="00687F9A">
      <w:pPr>
        <w:pStyle w:val="ListParagraph"/>
        <w:bidi/>
        <w:jc w:val="both"/>
        <w:rPr>
          <w:rtl/>
          <w:lang w:bidi="ar-EG"/>
        </w:rPr>
      </w:pPr>
    </w:p>
    <w:sectPr w:rsidR="00687F9A" w:rsidRPr="00AA00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73BB3"/>
    <w:multiLevelType w:val="hybridMultilevel"/>
    <w:tmpl w:val="D194975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069"/>
    <w:rsid w:val="00614739"/>
    <w:rsid w:val="00687F9A"/>
    <w:rsid w:val="00755E9A"/>
    <w:rsid w:val="008E621B"/>
    <w:rsid w:val="00AA0069"/>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C8DDB"/>
  <w15:chartTrackingRefBased/>
  <w15:docId w15:val="{742327C3-E5CC-4BB3-A0F5-D844EFE58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A0069"/>
    <w:rPr>
      <w:color w:val="0563C1" w:themeColor="hyperlink"/>
      <w:u w:val="single"/>
    </w:rPr>
  </w:style>
  <w:style w:type="character" w:styleId="UnresolvedMention">
    <w:name w:val="Unresolved Mention"/>
    <w:basedOn w:val="DefaultParagraphFont"/>
    <w:uiPriority w:val="99"/>
    <w:semiHidden/>
    <w:unhideWhenUsed/>
    <w:rsid w:val="00AA0069"/>
    <w:rPr>
      <w:color w:val="605E5C"/>
      <w:shd w:val="clear" w:color="auto" w:fill="E1DFDD"/>
    </w:rPr>
  </w:style>
  <w:style w:type="paragraph" w:styleId="ListParagraph">
    <w:name w:val="List Paragraph"/>
    <w:basedOn w:val="Normal"/>
    <w:uiPriority w:val="34"/>
    <w:qFormat/>
    <w:rsid w:val="00AA0069"/>
    <w:pPr>
      <w:ind w:left="720"/>
      <w:contextualSpacing/>
    </w:pPr>
  </w:style>
  <w:style w:type="character" w:styleId="FollowedHyperlink">
    <w:name w:val="FollowedHyperlink"/>
    <w:basedOn w:val="DefaultParagraphFont"/>
    <w:uiPriority w:val="99"/>
    <w:semiHidden/>
    <w:unhideWhenUsed/>
    <w:rsid w:val="008E62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79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undwords.de/die-herrlichkeit-des-sohnes-in-johannes-6-a12893.html" TargetMode="External"/><Relationship Id="rId5" Type="http://schemas.openxmlformats.org/officeDocument/2006/relationships/hyperlink" Target="https://www.soundwords.de/die-herrlichkeit-des-sohnes-in-johannes-6-a12893.html"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cp:revision>
  <dcterms:created xsi:type="dcterms:W3CDTF">2021-03-13T19:35:00Z</dcterms:created>
  <dcterms:modified xsi:type="dcterms:W3CDTF">2022-02-26T13:50:00Z</dcterms:modified>
</cp:coreProperties>
</file>