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C785" w14:textId="14E0C9C2" w:rsidR="00BE011D" w:rsidRDefault="009B11F3">
      <w:pPr>
        <w:rPr>
          <w:rtl/>
        </w:rPr>
      </w:pPr>
      <w:r>
        <w:rPr>
          <w:rtl/>
        </w:rPr>
        <w:fldChar w:fldCharType="begin"/>
      </w:r>
      <w:r>
        <w:rPr>
          <w:rtl/>
        </w:rPr>
        <w:instrText xml:space="preserve"> </w:instrText>
      </w:r>
      <w:r>
        <w:instrText>HYPERLINK</w:instrText>
      </w:r>
      <w:r>
        <w:rPr>
          <w:rtl/>
        </w:rPr>
        <w:instrText xml:space="preserve"> "</w:instrText>
      </w:r>
      <w:r>
        <w:instrText>https://www.bibelkommentare.de/kommentare/341/der-erste-brief-an-timotheus</w:instrText>
      </w:r>
      <w:r>
        <w:rPr>
          <w:rtl/>
        </w:rPr>
        <w:instrText xml:space="preserve">" </w:instrText>
      </w:r>
      <w:r>
        <w:rPr>
          <w:rtl/>
        </w:rPr>
      </w:r>
      <w:r>
        <w:rPr>
          <w:rtl/>
        </w:rPr>
        <w:fldChar w:fldCharType="separate"/>
      </w:r>
      <w:r w:rsidRPr="009B11F3">
        <w:rPr>
          <w:rStyle w:val="Hyperlink"/>
          <w:rtl/>
        </w:rPr>
        <w:t>رسالة تيموثاوس الأولى</w:t>
      </w:r>
      <w:r>
        <w:rPr>
          <w:rtl/>
        </w:rPr>
        <w:fldChar w:fldCharType="end"/>
      </w:r>
    </w:p>
    <w:p w14:paraId="53EED271" w14:textId="54F91C7A" w:rsidR="009B11F3" w:rsidRDefault="009B11F3" w:rsidP="009B11F3">
      <w:pPr>
        <w:bidi w:val="0"/>
        <w:rPr>
          <w:rtl/>
        </w:rPr>
      </w:pPr>
      <w:r w:rsidRPr="009B11F3">
        <w:t>Hamilton Smith</w:t>
      </w:r>
    </w:p>
    <w:p w14:paraId="1DC1E938" w14:textId="0111E09F" w:rsidR="009B11F3" w:rsidRDefault="009B11F3">
      <w:pPr>
        <w:rPr>
          <w:rtl/>
        </w:rPr>
      </w:pPr>
      <w:r>
        <w:rPr>
          <w:rFonts w:hint="cs"/>
          <w:rtl/>
        </w:rPr>
        <w:t>مقدمة</w:t>
      </w:r>
    </w:p>
    <w:p w14:paraId="0A3E7E53" w14:textId="531D99A7" w:rsidR="009B11F3" w:rsidRDefault="009B11F3">
      <w:pPr>
        <w:rPr>
          <w:rtl/>
        </w:rPr>
      </w:pPr>
      <w:r>
        <w:rPr>
          <w:rFonts w:hint="cs"/>
          <w:rtl/>
        </w:rPr>
        <w:t>إن القراءة المتأنية للكتاب المقدس ترينا بصورة واضحة بأن الكثير من رسائل الرسول بولس في الدرجة الأولى لها طابع تقويمي؛ فلقد كُتبت لمواجهة تشويش وضلال حاد في التعليم كانت قد أضجرت الكنائس في أيامها المبكرة. ولكن أيضًا هنالك رسائل، مثل رسالة أفسس و1. تيموثاوس، التي لها في الأساس طابع تعليمي بمدى أنها تعرض الكنيسة في ترتيبها الإلهي بموجب قصد الله.</w:t>
      </w:r>
    </w:p>
    <w:p w14:paraId="5A3DE5EF" w14:textId="24550C2D" w:rsidR="009B11F3" w:rsidRDefault="009B11F3">
      <w:pPr>
        <w:rPr>
          <w:rtl/>
        </w:rPr>
      </w:pPr>
      <w:r>
        <w:rPr>
          <w:rFonts w:hint="cs"/>
          <w:rtl/>
        </w:rPr>
        <w:t>كل واحدة من ه</w:t>
      </w:r>
      <w:r w:rsidR="005B0F65">
        <w:rPr>
          <w:rFonts w:hint="cs"/>
          <w:rtl/>
        </w:rPr>
        <w:t>ذ</w:t>
      </w:r>
      <w:r>
        <w:rPr>
          <w:rFonts w:hint="cs"/>
          <w:rtl/>
        </w:rPr>
        <w:t>ه الرسائل تصف وجهة نظر خاصة في الكنيسة. في رسالة أفسس نجد الكنيسة كالمكوّنة من مؤمنين يشكلون في ترابطهم بالروح القدس الجسد الروحي الذي ر</w:t>
      </w:r>
      <w:r w:rsidR="005B0F65">
        <w:rPr>
          <w:rFonts w:hint="cs"/>
          <w:rtl/>
        </w:rPr>
        <w:t>أ</w:t>
      </w:r>
      <w:r>
        <w:rPr>
          <w:rFonts w:hint="cs"/>
          <w:rtl/>
        </w:rPr>
        <w:t>سه هو المسيح في السماء. فهي تقدم الكنيسة بحسب مشورات الله في ارتباطها السماوي.</w:t>
      </w:r>
    </w:p>
    <w:p w14:paraId="50E754A2" w14:textId="4E5F9E0A" w:rsidR="009B11F3" w:rsidRDefault="009B11F3">
      <w:pPr>
        <w:rPr>
          <w:rtl/>
        </w:rPr>
      </w:pPr>
      <w:r>
        <w:rPr>
          <w:rFonts w:hint="cs"/>
          <w:rtl/>
        </w:rPr>
        <w:t>في رسالة 1. تيموثاوس نجد الكنيسة مكونة من مؤمنين "</w:t>
      </w:r>
      <w:r w:rsidRPr="009B11F3">
        <w:rPr>
          <w:rtl/>
        </w:rPr>
        <w:t>مَبْنِيُّونَ مَعًا، مَسْكَنًا للهِ فِي الرُّوحِ.</w:t>
      </w:r>
      <w:r>
        <w:rPr>
          <w:rFonts w:hint="cs"/>
          <w:rtl/>
        </w:rPr>
        <w:t>" (أفسس 2: 22). بالارتباط بهذا الحق العظيم يوجد ل</w:t>
      </w:r>
      <w:r w:rsidR="007F1E2E">
        <w:rPr>
          <w:rFonts w:hint="cs"/>
          <w:rtl/>
        </w:rPr>
        <w:t xml:space="preserve">تعليم </w:t>
      </w:r>
      <w:r>
        <w:rPr>
          <w:rFonts w:hint="cs"/>
          <w:rtl/>
        </w:rPr>
        <w:t>هذه الرسالة هدفان</w:t>
      </w:r>
      <w:r w:rsidR="007F1E2E">
        <w:rPr>
          <w:rFonts w:hint="cs"/>
          <w:rtl/>
        </w:rPr>
        <w:t xml:space="preserve"> لترينا إياها. من جانب واحد يكتب الرسول في تحميل المؤمنين المسؤولية، بأن يعيشوا حياة عملية في التقوى كما يليق ببيت الله: "</w:t>
      </w:r>
      <w:r w:rsidR="007F1E2E" w:rsidRPr="007F1E2E">
        <w:rPr>
          <w:rtl/>
        </w:rPr>
        <w:t>فَلِكَيْ تَعْلَمَ كَيْفَ يَجِبُ أَنْ تَتَصَرَّفَ فِي بَيْتِ اللهِ، الَّذِي هُوَ كَنِيسَةُ اللهِ الْحَيِّ</w:t>
      </w:r>
      <w:r w:rsidR="007F1E2E">
        <w:rPr>
          <w:rFonts w:hint="cs"/>
          <w:rtl/>
        </w:rPr>
        <w:t>" (3: 15). وكتب لآخرين من أجل تعلمنا نحن، بأن الهدف</w:t>
      </w:r>
      <w:r w:rsidR="007F1E2E" w:rsidRPr="007F1E2E">
        <w:rPr>
          <w:rtl/>
        </w:rPr>
        <w:t xml:space="preserve"> العظيم</w:t>
      </w:r>
      <w:r w:rsidR="007F1E2E">
        <w:rPr>
          <w:rFonts w:hint="cs"/>
          <w:rtl/>
        </w:rPr>
        <w:t xml:space="preserve"> من بيت الله تقديم الشهادة في العالم بأن الله هو الله المخلّص، "</w:t>
      </w:r>
      <w:r w:rsidR="007F1E2E" w:rsidRPr="007F1E2E">
        <w:rPr>
          <w:rtl/>
        </w:rPr>
        <w:t xml:space="preserve"> </w:t>
      </w:r>
      <w:r w:rsidR="007F1E2E" w:rsidRPr="007F1E2E">
        <w:rPr>
          <w:rFonts w:ascii="Arial" w:hAnsi="Arial" w:cs="Arial" w:hint="cs"/>
          <w:rtl/>
        </w:rPr>
        <w:t>​</w:t>
      </w:r>
      <w:r w:rsidR="007F1E2E" w:rsidRPr="007F1E2E">
        <w:rPr>
          <w:rFonts w:hint="cs"/>
          <w:rtl/>
        </w:rPr>
        <w:t>الَّذِي</w:t>
      </w:r>
      <w:r w:rsidR="007F1E2E" w:rsidRPr="007F1E2E">
        <w:rPr>
          <w:rtl/>
        </w:rPr>
        <w:t xml:space="preserve"> </w:t>
      </w:r>
      <w:r w:rsidR="007F1E2E" w:rsidRPr="007F1E2E">
        <w:rPr>
          <w:rFonts w:hint="cs"/>
          <w:rtl/>
        </w:rPr>
        <w:t>يُرِيدُ</w:t>
      </w:r>
      <w:r w:rsidR="007F1E2E" w:rsidRPr="007F1E2E">
        <w:rPr>
          <w:rtl/>
        </w:rPr>
        <w:t xml:space="preserve"> </w:t>
      </w:r>
      <w:r w:rsidR="007F1E2E" w:rsidRPr="007F1E2E">
        <w:rPr>
          <w:rFonts w:hint="cs"/>
          <w:rtl/>
        </w:rPr>
        <w:t>أَنَّ</w:t>
      </w:r>
      <w:r w:rsidR="007F1E2E" w:rsidRPr="007F1E2E">
        <w:rPr>
          <w:rtl/>
        </w:rPr>
        <w:t xml:space="preserve"> </w:t>
      </w:r>
      <w:r w:rsidR="007F1E2E" w:rsidRPr="007F1E2E">
        <w:rPr>
          <w:rFonts w:hint="cs"/>
          <w:rtl/>
        </w:rPr>
        <w:t>جَمِيعَ</w:t>
      </w:r>
      <w:r w:rsidR="007F1E2E" w:rsidRPr="007F1E2E">
        <w:rPr>
          <w:rtl/>
        </w:rPr>
        <w:t xml:space="preserve"> </w:t>
      </w:r>
      <w:r w:rsidR="007F1E2E" w:rsidRPr="007F1E2E">
        <w:rPr>
          <w:rFonts w:hint="cs"/>
          <w:rtl/>
        </w:rPr>
        <w:t>النَّاسِ</w:t>
      </w:r>
      <w:r w:rsidR="007F1E2E" w:rsidRPr="007F1E2E">
        <w:rPr>
          <w:rtl/>
        </w:rPr>
        <w:t xml:space="preserve"> </w:t>
      </w:r>
      <w:r w:rsidR="007F1E2E" w:rsidRPr="007F1E2E">
        <w:rPr>
          <w:rFonts w:hint="cs"/>
          <w:rtl/>
        </w:rPr>
        <w:t>يَخْلُصُونَ</w:t>
      </w:r>
      <w:r w:rsidR="007F1E2E">
        <w:rPr>
          <w:rFonts w:hint="cs"/>
          <w:rtl/>
        </w:rPr>
        <w:t>" (2: 4).</w:t>
      </w:r>
    </w:p>
    <w:p w14:paraId="12A91D9E" w14:textId="21D3443B" w:rsidR="007F1E2E" w:rsidRDefault="007F1E2E">
      <w:pPr>
        <w:rPr>
          <w:rtl/>
        </w:rPr>
      </w:pPr>
      <w:r>
        <w:rPr>
          <w:rFonts w:hint="cs"/>
          <w:rtl/>
        </w:rPr>
        <w:t>إنها رغبة الله بأن تتواجد بواسطة الكنيسة في هذا العالم شهادة جماعية عنه في كل قداسته ونعمته كالله المخلّص. ولكي نعرض هذه الشهادة ونقدمها، لا بد لنا أن نعرف بيت الله والتصرف اللائق بهذا البيت.</w:t>
      </w:r>
    </w:p>
    <w:p w14:paraId="6AB289DF" w14:textId="70099876" w:rsidR="007F1E2E" w:rsidRDefault="007F1E2E">
      <w:pPr>
        <w:rPr>
          <w:rtl/>
        </w:rPr>
      </w:pPr>
      <w:r>
        <w:rPr>
          <w:rFonts w:hint="cs"/>
          <w:rtl/>
        </w:rPr>
        <w:t xml:space="preserve">فهذه الرسالة إذًا ترينا </w:t>
      </w:r>
      <w:r w:rsidR="00D8618C">
        <w:rPr>
          <w:rFonts w:hint="cs"/>
          <w:rtl/>
        </w:rPr>
        <w:t xml:space="preserve">الغاية من وراء بيت الله وترتيبه بحسب أفكار الله. إنها ترينا بأن هذا النظام الإلهي لن يحكم في ضبط الكنيسة وحدها، وإنما بأن يكون فعالاً في كل نقطة من حياة جميع الذين يكونون بيت الله </w:t>
      </w:r>
      <w:r w:rsidR="00D8618C">
        <w:rPr>
          <w:rtl/>
        </w:rPr>
        <w:t>–</w:t>
      </w:r>
      <w:r w:rsidR="00D8618C">
        <w:rPr>
          <w:rFonts w:hint="cs"/>
          <w:rtl/>
        </w:rPr>
        <w:t xml:space="preserve"> إن كانوا رجالاً أو نساء، شيوخًا أو شباب، متزوجين أو أعزاب، عبيدًا أو أسياد، أغنياء أو فقراء.</w:t>
      </w:r>
    </w:p>
    <w:p w14:paraId="741E1B41" w14:textId="62D703FC" w:rsidR="00D8618C" w:rsidRDefault="00D8618C">
      <w:pPr>
        <w:rPr>
          <w:rtl/>
        </w:rPr>
      </w:pPr>
      <w:r>
        <w:rPr>
          <w:rFonts w:hint="cs"/>
          <w:rtl/>
        </w:rPr>
        <w:t>إن تعليم هذه الرسالة هو غير معروف أو مُهمل على نطاق واسع في حالة الكنيسة الفاسدة، إما بالنزعة الفردية أو الطائفية. الكثير من النفوس الصادقة التي قلما تنظر إلى ما هو أبعد من خلاصها يقفون في لامبالاتهم أمام حقيقة الأمر، بأنهم يشكلون كمؤمنون مُخلّصون بيت الله</w:t>
      </w:r>
      <w:r w:rsidR="00A111E3">
        <w:rPr>
          <w:rFonts w:hint="cs"/>
          <w:rtl/>
        </w:rPr>
        <w:t xml:space="preserve"> </w:t>
      </w:r>
      <w:r w:rsidR="00A111E3">
        <w:rPr>
          <w:rtl/>
        </w:rPr>
        <w:t>–</w:t>
      </w:r>
      <w:r w:rsidR="00A111E3">
        <w:rPr>
          <w:rFonts w:hint="cs"/>
          <w:rtl/>
        </w:rPr>
        <w:t xml:space="preserve"> بكل امتيازاته ومسؤولياته. آخرون ممن يشعرون بضرورة الشركة المسيحية، ولكن ليس لهم علم بما شكّله الله، أقاموا بحسب تصوراتهم الخاصة أنظمة دينية.</w:t>
      </w:r>
    </w:p>
    <w:p w14:paraId="15A9C212" w14:textId="576FDA69" w:rsidR="00A111E3" w:rsidRDefault="00A111E3">
      <w:pPr>
        <w:rPr>
          <w:rtl/>
        </w:rPr>
      </w:pPr>
      <w:r>
        <w:rPr>
          <w:rFonts w:hint="cs"/>
          <w:rtl/>
        </w:rPr>
        <w:t>بالتالي فإن الحق العظيم بأن الله كوّن بيته من مؤمنين يُبنَون كمسكن لله في الروح، أُهمل في نواحٍ مختلفة. هذا الحق سيهدينا</w:t>
      </w:r>
      <w:r w:rsidR="003223F9">
        <w:rPr>
          <w:rFonts w:hint="cs"/>
          <w:rtl/>
        </w:rPr>
        <w:t xml:space="preserve"> بأن لا نرى أنفسنا فقط كأفراد مخلّصين ولا أن نجاهد في جمع مسيحيين في أنظمة ابتكرها الناس، </w:t>
      </w:r>
      <w:r w:rsidR="004A145A">
        <w:rPr>
          <w:rFonts w:hint="cs"/>
          <w:rtl/>
        </w:rPr>
        <w:t>وإنما بأن نفهم بأن مركزنا في بيت الله قد تم إعداده. إنه سيهدينا بأن نتصرف في نور هذا الحق برفضنا كل ما هو مبدئيًا وتطبيقيًا إنكارًا لهذا البيت.</w:t>
      </w:r>
    </w:p>
    <w:p w14:paraId="3AF2EBDB" w14:textId="2EC34305" w:rsidR="008C7EBD" w:rsidRDefault="008C7EBD">
      <w:pPr>
        <w:rPr>
          <w:rtl/>
        </w:rPr>
      </w:pPr>
      <w:r>
        <w:rPr>
          <w:rFonts w:hint="cs"/>
          <w:rtl/>
        </w:rPr>
        <w:t>إن كنا نرغب بأن نسير في طريقنا في طاعة ببساطة قلب من نحو كلمة الله سنتعلم بأن نقدّر الرحمة التي حفظتها لنا أفكار الله في هذه الرسالة عن كنيسته منظور إليها هنا باعتبارها بيت الله. وفقط عندها سيتسنى لنا بأن نسعى بفهم بأن نطبّق أفكار الله إن وُضع قياسه أمامنا؛ وفقط بقدر تأسسنا في الحق يمكننا أن نميز الضلال ونرفضه.</w:t>
      </w:r>
    </w:p>
    <w:p w14:paraId="4C46403C" w14:textId="0BBEF0AC" w:rsidR="008C7EBD" w:rsidRDefault="008C7EBD">
      <w:pPr>
        <w:rPr>
          <w:rtl/>
        </w:rPr>
      </w:pPr>
      <w:r>
        <w:rPr>
          <w:rFonts w:hint="cs"/>
          <w:rtl/>
        </w:rPr>
        <w:t>إذ في هذه الرسالة يُقدّم لنا التصرف في تطابقه مع بيت الله، فما سنجده هنا ما هو أكثر عن التطبيق والتعليم.</w:t>
      </w:r>
    </w:p>
    <w:p w14:paraId="6C6A68FD" w14:textId="1A5F1B6A" w:rsidR="008C7EBD" w:rsidRDefault="008C7EBD">
      <w:pPr>
        <w:rPr>
          <w:rtl/>
        </w:rPr>
      </w:pPr>
      <w:r>
        <w:rPr>
          <w:rFonts w:hint="cs"/>
          <w:rtl/>
        </w:rPr>
        <w:t>في إصحاح 1 يُقدّم إنجيل نعمة الله كالشهادة الأساسية المنتشرة انطلاقًا من بيت الله إلى كل العالم.</w:t>
      </w:r>
    </w:p>
    <w:p w14:paraId="46F6FF0F" w14:textId="5B3DE3DC" w:rsidR="008C7EBD" w:rsidRDefault="008C7EBD">
      <w:pPr>
        <w:rPr>
          <w:rtl/>
        </w:rPr>
      </w:pPr>
      <w:r>
        <w:rPr>
          <w:rFonts w:hint="cs"/>
          <w:rtl/>
        </w:rPr>
        <w:t xml:space="preserve">في الإصحاحين 2 و 3 نتعلم عن الترتيب الإلهي الذي يليق ببيت الله. جميع الذين يكونون هذا البيت، رجال ونساء، عليهم أن يعيشوا في اتفاق مع مكان مسكن الله. </w:t>
      </w:r>
      <w:r w:rsidR="00660852">
        <w:rPr>
          <w:rFonts w:hint="cs"/>
          <w:rtl/>
        </w:rPr>
        <w:t>فلا يجب أن يكون أي شيء كدافع يُعرقل الشهادة المنطلقة من هذا البيت.</w:t>
      </w:r>
    </w:p>
    <w:p w14:paraId="14EB466E" w14:textId="77777777" w:rsidR="00717260" w:rsidRDefault="00660852">
      <w:pPr>
        <w:rPr>
          <w:rtl/>
        </w:rPr>
        <w:sectPr w:rsidR="00717260" w:rsidSect="00E03FA1">
          <w:pgSz w:w="11906" w:h="16838"/>
          <w:pgMar w:top="1440" w:right="1440" w:bottom="1440" w:left="1440" w:header="708" w:footer="708" w:gutter="0"/>
          <w:cols w:space="708"/>
          <w:bidi/>
          <w:rtlGutter/>
          <w:docGrid w:linePitch="360"/>
        </w:sectPr>
      </w:pPr>
      <w:r>
        <w:rPr>
          <w:rFonts w:hint="cs"/>
          <w:rtl/>
        </w:rPr>
        <w:t xml:space="preserve">في </w:t>
      </w:r>
      <w:proofErr w:type="spellStart"/>
      <w:r>
        <w:rPr>
          <w:rFonts w:hint="cs"/>
          <w:rtl/>
        </w:rPr>
        <w:t>الإصحاحات</w:t>
      </w:r>
      <w:proofErr w:type="spellEnd"/>
      <w:r>
        <w:rPr>
          <w:rFonts w:hint="cs"/>
          <w:rtl/>
        </w:rPr>
        <w:t xml:space="preserve"> 4 حتى 6 لنا التحذير من الصور المختلفة التي يظهر فيها الجسد؛ فما سنتعلّمه هو في مخافة الله والتقوى التي هي الحِمى الأساسي من كل مبدأ شرير يتعارض مع ترتيب بيت الله.</w:t>
      </w:r>
    </w:p>
    <w:p w14:paraId="7936F02E" w14:textId="6C3BFF6C" w:rsidR="00660852" w:rsidRDefault="00000000">
      <w:pPr>
        <w:rPr>
          <w:rtl/>
        </w:rPr>
      </w:pPr>
      <w:hyperlink r:id="rId4" w:history="1">
        <w:r w:rsidR="00717260" w:rsidRPr="00717260">
          <w:rPr>
            <w:rStyle w:val="Hyperlink"/>
            <w:rFonts w:hint="cs"/>
            <w:rtl/>
          </w:rPr>
          <w:t>غاية ا</w:t>
        </w:r>
        <w:r w:rsidR="00717260" w:rsidRPr="00717260">
          <w:rPr>
            <w:rStyle w:val="Hyperlink"/>
            <w:rFonts w:hint="cs"/>
            <w:rtl/>
          </w:rPr>
          <w:t>ل</w:t>
        </w:r>
        <w:r w:rsidR="00717260" w:rsidRPr="00717260">
          <w:rPr>
            <w:rStyle w:val="Hyperlink"/>
            <w:rFonts w:hint="cs"/>
            <w:rtl/>
          </w:rPr>
          <w:t>وصية</w:t>
        </w:r>
      </w:hyperlink>
    </w:p>
    <w:p w14:paraId="19A4BDD1" w14:textId="76F52EB4" w:rsidR="005B0F65" w:rsidRDefault="005B0F65">
      <w:pPr>
        <w:rPr>
          <w:rtl/>
        </w:rPr>
      </w:pPr>
      <w:r>
        <w:rPr>
          <w:rFonts w:hint="cs"/>
          <w:rtl/>
        </w:rPr>
        <w:t xml:space="preserve">الرسالة تبدأ بالمواظبة الثابتة على تعليم النعمة (عدد 3)، وبالمواظبة على الحالة الروحية الصحيحة (عدد 5) </w:t>
      </w:r>
      <w:proofErr w:type="spellStart"/>
      <w:r>
        <w:rPr>
          <w:rFonts w:hint="cs"/>
          <w:rtl/>
        </w:rPr>
        <w:t>لكيما</w:t>
      </w:r>
      <w:proofErr w:type="spellEnd"/>
      <w:r>
        <w:rPr>
          <w:rFonts w:hint="cs"/>
          <w:rtl/>
        </w:rPr>
        <w:t xml:space="preserve"> يكون شعب الله شاهدًا عن الله كالمخلّص.</w:t>
      </w:r>
    </w:p>
    <w:p w14:paraId="22753336" w14:textId="1D6159EB" w:rsidR="005B0F65" w:rsidRDefault="005B0F65">
      <w:pPr>
        <w:rPr>
          <w:rtl/>
        </w:rPr>
      </w:pPr>
      <w:r>
        <w:rPr>
          <w:rFonts w:hint="cs"/>
          <w:rtl/>
        </w:rPr>
        <w:t>التحيات (العددان 1 و 2)</w:t>
      </w:r>
    </w:p>
    <w:p w14:paraId="6F331C7A" w14:textId="06DA3B35" w:rsidR="005B0F65" w:rsidRDefault="005B0F65">
      <w:pPr>
        <w:rPr>
          <w:rtl/>
        </w:rPr>
      </w:pPr>
      <w:r>
        <w:rPr>
          <w:rFonts w:hint="cs"/>
          <w:rtl/>
        </w:rPr>
        <w:t>عدد 1: إذ الرسول أمامه هنا بيت الله كشهادة عن الله المخلّص يقدّم نفسه هنا باعتباره "</w:t>
      </w:r>
      <w:r w:rsidRPr="005B0F65">
        <w:rPr>
          <w:rFonts w:ascii="Arial" w:hAnsi="Arial" w:cs="Arial" w:hint="cs"/>
          <w:rtl/>
        </w:rPr>
        <w:t>​</w:t>
      </w:r>
      <w:r w:rsidRPr="005B0F65">
        <w:rPr>
          <w:rFonts w:hint="cs"/>
          <w:rtl/>
        </w:rPr>
        <w:t>بُولُسُ،</w:t>
      </w:r>
      <w:r w:rsidRPr="005B0F65">
        <w:rPr>
          <w:rtl/>
        </w:rPr>
        <w:t xml:space="preserve"> </w:t>
      </w:r>
      <w:r w:rsidRPr="005B0F65">
        <w:rPr>
          <w:rFonts w:hint="cs"/>
          <w:rtl/>
        </w:rPr>
        <w:t>رَسُولُ</w:t>
      </w:r>
      <w:r w:rsidRPr="005B0F65">
        <w:rPr>
          <w:rtl/>
        </w:rPr>
        <w:t xml:space="preserve"> </w:t>
      </w:r>
      <w:r w:rsidRPr="005B0F65">
        <w:rPr>
          <w:rFonts w:hint="cs"/>
          <w:rtl/>
        </w:rPr>
        <w:t>يَسُوعَ</w:t>
      </w:r>
      <w:r w:rsidRPr="005B0F65">
        <w:rPr>
          <w:rtl/>
        </w:rPr>
        <w:t xml:space="preserve"> </w:t>
      </w:r>
      <w:r w:rsidRPr="005B0F65">
        <w:rPr>
          <w:rFonts w:hint="cs"/>
          <w:rtl/>
        </w:rPr>
        <w:t>الْمَسِيحِ،</w:t>
      </w:r>
      <w:r w:rsidRPr="005B0F65">
        <w:rPr>
          <w:rtl/>
        </w:rPr>
        <w:t xml:space="preserve"> </w:t>
      </w:r>
      <w:r w:rsidRPr="005B0F65">
        <w:rPr>
          <w:rFonts w:hint="cs"/>
          <w:rtl/>
        </w:rPr>
        <w:t>بِحَسَبِ</w:t>
      </w:r>
      <w:r w:rsidRPr="005B0F65">
        <w:rPr>
          <w:rtl/>
        </w:rPr>
        <w:t xml:space="preserve"> </w:t>
      </w:r>
      <w:r w:rsidRPr="005B0F65">
        <w:rPr>
          <w:rFonts w:hint="cs"/>
          <w:rtl/>
        </w:rPr>
        <w:t>أَمْرِ</w:t>
      </w:r>
      <w:r w:rsidRPr="005B0F65">
        <w:rPr>
          <w:rtl/>
        </w:rPr>
        <w:t xml:space="preserve"> </w:t>
      </w:r>
      <w:r w:rsidRPr="005B0F65">
        <w:rPr>
          <w:rFonts w:hint="cs"/>
          <w:rtl/>
        </w:rPr>
        <w:t>اللهِ</w:t>
      </w:r>
      <w:r w:rsidRPr="005B0F65">
        <w:rPr>
          <w:rtl/>
        </w:rPr>
        <w:t xml:space="preserve"> </w:t>
      </w:r>
      <w:r w:rsidRPr="005B0F65">
        <w:rPr>
          <w:rFonts w:hint="cs"/>
          <w:rtl/>
        </w:rPr>
        <w:t>مُخَلِّصِنَا،</w:t>
      </w:r>
      <w:r w:rsidRPr="005B0F65">
        <w:rPr>
          <w:rtl/>
        </w:rPr>
        <w:t xml:space="preserve"> </w:t>
      </w:r>
      <w:r w:rsidRPr="005B0F65">
        <w:rPr>
          <w:rFonts w:hint="cs"/>
          <w:rtl/>
        </w:rPr>
        <w:t>وَرَبِّنَا</w:t>
      </w:r>
      <w:r w:rsidRPr="005B0F65">
        <w:rPr>
          <w:rtl/>
        </w:rPr>
        <w:t xml:space="preserve"> </w:t>
      </w:r>
      <w:r w:rsidRPr="005B0F65">
        <w:rPr>
          <w:rFonts w:hint="cs"/>
          <w:rtl/>
        </w:rPr>
        <w:t>يَسُوعَ</w:t>
      </w:r>
      <w:r w:rsidRPr="005B0F65">
        <w:rPr>
          <w:rtl/>
        </w:rPr>
        <w:t xml:space="preserve"> </w:t>
      </w:r>
      <w:r w:rsidRPr="005B0F65">
        <w:rPr>
          <w:rFonts w:hint="cs"/>
          <w:rtl/>
        </w:rPr>
        <w:t>الْمَسِيحِ،</w:t>
      </w:r>
      <w:r w:rsidRPr="005B0F65">
        <w:rPr>
          <w:rtl/>
        </w:rPr>
        <w:t xml:space="preserve"> </w:t>
      </w:r>
      <w:r w:rsidRPr="005B0F65">
        <w:rPr>
          <w:rFonts w:hint="cs"/>
          <w:rtl/>
        </w:rPr>
        <w:t>رَجَائِنَا</w:t>
      </w:r>
      <w:r w:rsidRPr="005B0F65">
        <w:rPr>
          <w:rtl/>
        </w:rPr>
        <w:t>.</w:t>
      </w:r>
      <w:r>
        <w:rPr>
          <w:rFonts w:hint="cs"/>
          <w:rtl/>
        </w:rPr>
        <w:t>". إنه بذلك يقدّم الله كالمخلّص للعالم والمسيحَ كالرجاء الوحيد للنفس. من دون المسيح ليس لنا أي رجاء (أفسس 2: 12؛ رومية 15: 12).</w:t>
      </w:r>
    </w:p>
    <w:p w14:paraId="05804344" w14:textId="4006D510" w:rsidR="005B0F65" w:rsidRDefault="005B0F65">
      <w:r>
        <w:rPr>
          <w:rFonts w:hint="cs"/>
          <w:rtl/>
        </w:rPr>
        <w:t>عدد 2: في توجّه الرسول إلى تيموثاوس إلى ابنه الحبيب في الإيمان، تمنّى له نعمة، رحمة وسلامًا؛ ولكن إذ أنه يعرفه كمؤمن قال هنا: "</w:t>
      </w:r>
      <w:r w:rsidRPr="005B0F65">
        <w:rPr>
          <w:rtl/>
        </w:rPr>
        <w:t xml:space="preserve">مِنَ اللهِ أَبِينَا وَالْمَسِيحِ يَسُوعَ </w:t>
      </w:r>
      <w:hyperlink r:id="rId5" w:anchor=":~:text=unserem%20Herrn%E2%80%9C.-,DAS%20ENDZIEL%20DES,-GEBOTES%20(VERSE%203" w:history="1">
        <w:r w:rsidRPr="002D53F4">
          <w:rPr>
            <w:rStyle w:val="Hyperlink"/>
            <w:rtl/>
          </w:rPr>
          <w:t>رَبِّنَا</w:t>
        </w:r>
      </w:hyperlink>
      <w:r>
        <w:rPr>
          <w:rFonts w:hint="cs"/>
          <w:rtl/>
        </w:rPr>
        <w:t>".</w:t>
      </w:r>
    </w:p>
    <w:sectPr w:rsidR="005B0F65"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BE"/>
    <w:rsid w:val="002D53F4"/>
    <w:rsid w:val="003223F9"/>
    <w:rsid w:val="004A145A"/>
    <w:rsid w:val="005B0F65"/>
    <w:rsid w:val="00660852"/>
    <w:rsid w:val="00717260"/>
    <w:rsid w:val="007F1E2E"/>
    <w:rsid w:val="008C7EBD"/>
    <w:rsid w:val="009060BE"/>
    <w:rsid w:val="009B11F3"/>
    <w:rsid w:val="00A111E3"/>
    <w:rsid w:val="00BE011D"/>
    <w:rsid w:val="00C6505E"/>
    <w:rsid w:val="00D8618C"/>
    <w:rsid w:val="00E03F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B6B2"/>
  <w15:chartTrackingRefBased/>
  <w15:docId w15:val="{243ADA7C-0249-4878-8EDB-F46415F5F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B11F3"/>
    <w:rPr>
      <w:color w:val="0563C1" w:themeColor="hyperlink"/>
      <w:u w:val="single"/>
    </w:rPr>
  </w:style>
  <w:style w:type="character" w:styleId="UnresolvedMention">
    <w:name w:val="Unresolved Mention"/>
    <w:basedOn w:val="DefaultParagraphFont"/>
    <w:uiPriority w:val="99"/>
    <w:semiHidden/>
    <w:unhideWhenUsed/>
    <w:rsid w:val="009B11F3"/>
    <w:rPr>
      <w:color w:val="605E5C"/>
      <w:shd w:val="clear" w:color="auto" w:fill="E1DFDD"/>
    </w:rPr>
  </w:style>
  <w:style w:type="character" w:styleId="FollowedHyperlink">
    <w:name w:val="FollowedHyperlink"/>
    <w:basedOn w:val="DefaultParagraphFont"/>
    <w:uiPriority w:val="99"/>
    <w:semiHidden/>
    <w:unhideWhenUsed/>
    <w:rsid w:val="005B0F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921/der-erste-brief-an-timotheus/kapitel-1" TargetMode="External"/><Relationship Id="rId4" Type="http://schemas.openxmlformats.org/officeDocument/2006/relationships/hyperlink" Target="https://www.bibelkommentare.de/kommentare/k-2921/der-erste-brief-an-timotheus/kapit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7</cp:revision>
  <dcterms:created xsi:type="dcterms:W3CDTF">2023-05-23T20:46:00Z</dcterms:created>
  <dcterms:modified xsi:type="dcterms:W3CDTF">2023-05-24T07:51:00Z</dcterms:modified>
</cp:coreProperties>
</file>