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14739" w:rsidRDefault="00287D4C" w:rsidP="00287D4C">
      <w:pPr>
        <w:bidi/>
        <w:jc w:val="center"/>
        <w:rPr>
          <w:rFonts w:ascii="Sakkal Majalla" w:hAnsi="Sakkal Majalla" w:cs="Sakkal Majalla"/>
          <w:sz w:val="28"/>
          <w:szCs w:val="28"/>
          <w:rtl/>
        </w:rPr>
      </w:pPr>
      <w:hyperlink r:id="rId4" w:history="1">
        <w:r w:rsidR="005D7568" w:rsidRPr="00287D4C">
          <w:rPr>
            <w:rStyle w:val="Hyperlink"/>
            <w:rFonts w:ascii="Sakkal Majalla" w:hAnsi="Sakkal Majalla" w:cs="Sakkal Majalla" w:hint="cs"/>
            <w:sz w:val="28"/>
            <w:szCs w:val="28"/>
            <w:rtl/>
          </w:rPr>
          <w:t>عين بسيطة</w:t>
        </w:r>
      </w:hyperlink>
    </w:p>
    <w:p w:rsidR="005D7568" w:rsidRPr="00287D4C" w:rsidRDefault="005D7568" w:rsidP="005D7568">
      <w:pPr>
        <w:bidi/>
        <w:jc w:val="both"/>
        <w:rPr>
          <w:rFonts w:ascii="Sakkal Majalla" w:hAnsi="Sakkal Majalla" w:cs="Sakkal Majalla"/>
          <w:b/>
          <w:bCs/>
          <w:rtl/>
        </w:rPr>
      </w:pPr>
      <w:r w:rsidRPr="00287D4C">
        <w:rPr>
          <w:rFonts w:ascii="Sakkal Majalla" w:hAnsi="Sakkal Majalla" w:cs="Sakkal Majalla" w:hint="cs"/>
          <w:b/>
          <w:bCs/>
          <w:rtl/>
        </w:rPr>
        <w:t>يوحنا داربي</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w:t>
      </w:r>
      <w:r w:rsidRPr="00BF7C0A">
        <w:rPr>
          <w:rFonts w:ascii="Sakkal Majalla" w:hAnsi="Sakkal Majalla" w:cs="Sakkal Majalla"/>
          <w:color w:val="FF0000"/>
          <w:sz w:val="28"/>
          <w:szCs w:val="28"/>
          <w:rtl/>
        </w:rPr>
        <w:t>سِرَاجُ الْجَسَدِ هُوَ الْعَيْنُ، فَمَتَى كَانَتْ عَيْنُكَ بَسِيطَةً فَجَسَدُكَ كُلُّهُ يَكُونُ نَيِّرًا، وَمَتَى كَانَتْ شِرِّيرَةً فَجَسَدُكَ يَكُونُ مُظْلِمًا.  35 اُنْظُرْ إِذًا لِئَلاَّ يَكُونَ النُّورُ الَّذِي فِيكَ ظُلْمَةً.  36 فَإِنْ كَانَ جَسَدُكَ كُلُّهُ نَيِّرًا لَيْسَ فِيهِ جُزْءٌ مُظْلِمٌ، يَكُونُ نَيِّرًا كُلُّهُ، كَمَا حِينَمَا يُضِيءُ لَكَ السِّرَاجُ بِلَمَعَانِهِ».</w:t>
      </w:r>
      <w:r w:rsidRPr="00BF7C0A">
        <w:rPr>
          <w:rFonts w:ascii="Sakkal Majalla" w:hAnsi="Sakkal Majalla" w:cs="Sakkal Majalla" w:hint="cs"/>
          <w:color w:val="FF0000"/>
          <w:sz w:val="28"/>
          <w:szCs w:val="28"/>
          <w:rtl/>
        </w:rPr>
        <w:t>"</w:t>
      </w:r>
    </w:p>
    <w:p w:rsidR="005D7568" w:rsidRPr="00BF7C0A" w:rsidRDefault="005D7568" w:rsidP="005D7568">
      <w:pPr>
        <w:bidi/>
        <w:jc w:val="both"/>
        <w:rPr>
          <w:rFonts w:ascii="Sakkal Majalla" w:hAnsi="Sakkal Majalla" w:cs="Sakkal Majalla"/>
          <w:b/>
          <w:bCs/>
          <w:sz w:val="32"/>
          <w:szCs w:val="32"/>
          <w:rtl/>
        </w:rPr>
      </w:pPr>
      <w:r w:rsidRPr="00BF7C0A">
        <w:rPr>
          <w:rFonts w:ascii="Sakkal Majalla" w:hAnsi="Sakkal Majalla" w:cs="Sakkal Majalla" w:hint="cs"/>
          <w:b/>
          <w:bCs/>
          <w:sz w:val="32"/>
          <w:szCs w:val="32"/>
          <w:rtl/>
        </w:rPr>
        <w:t xml:space="preserve">النور موجود </w:t>
      </w:r>
      <w:r w:rsidRPr="00BF7C0A">
        <w:rPr>
          <w:rFonts w:ascii="Sakkal Majalla" w:hAnsi="Sakkal Majalla" w:cs="Sakkal Majalla"/>
          <w:b/>
          <w:bCs/>
          <w:sz w:val="32"/>
          <w:szCs w:val="32"/>
          <w:rtl/>
        </w:rPr>
        <w:t>–</w:t>
      </w:r>
      <w:r w:rsidRPr="00BF7C0A">
        <w:rPr>
          <w:rFonts w:ascii="Sakkal Majalla" w:hAnsi="Sakkal Majalla" w:cs="Sakkal Majalla" w:hint="cs"/>
          <w:b/>
          <w:bCs/>
          <w:sz w:val="32"/>
          <w:szCs w:val="32"/>
          <w:rtl/>
        </w:rPr>
        <w:t xml:space="preserve"> هل يوجد لدينا عين بسيطة؟</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عندما نشعل شمعة في غرفة مظلمة، فسنقدر أن نميز كل الأمور. إنها لا تُظهر فقط ذاتها، وإنما تنير كل شيء من حولها.</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عيننا (الروحية) تستقبل النور، لكن العين من الممكن أن تكون بسيطة أو شريرة. ليس "إما ذات نظرة واحدة أو ذات نظرتين"، وإنما "ذات نظرة واحدة أو شريرة". إن لم يكن المسيح هو الغرض الذي تنظر إليه العين، فالذي يشغلنا يكون أي شيء شرير. إن كان</w:t>
      </w:r>
      <w:r w:rsidR="00ED269C">
        <w:rPr>
          <w:rFonts w:ascii="Sakkal Majalla" w:hAnsi="Sakkal Majalla" w:cs="Sakkal Majalla" w:hint="cs"/>
          <w:sz w:val="28"/>
          <w:szCs w:val="28"/>
          <w:rtl/>
        </w:rPr>
        <w:t>ت</w:t>
      </w:r>
      <w:r>
        <w:rPr>
          <w:rFonts w:ascii="Sakkal Majalla" w:hAnsi="Sakkal Majalla" w:cs="Sakkal Majalla" w:hint="cs"/>
          <w:sz w:val="28"/>
          <w:szCs w:val="28"/>
          <w:rtl/>
        </w:rPr>
        <w:t xml:space="preserve"> عيننا بالمقابل بسيطة، فكل شيء يكون بسيطًا، على الرغم من احتمال وجود المصاعب كما حدث مع بولس.</w:t>
      </w:r>
    </w:p>
    <w:p w:rsidR="005D7568" w:rsidRPr="00BF7C0A" w:rsidRDefault="005D7568" w:rsidP="005D7568">
      <w:pPr>
        <w:bidi/>
        <w:jc w:val="both"/>
        <w:rPr>
          <w:rFonts w:ascii="Sakkal Majalla" w:hAnsi="Sakkal Majalla" w:cs="Sakkal Majalla"/>
          <w:b/>
          <w:bCs/>
          <w:sz w:val="32"/>
          <w:szCs w:val="32"/>
          <w:rtl/>
        </w:rPr>
      </w:pPr>
      <w:r w:rsidRPr="00BF7C0A">
        <w:rPr>
          <w:rFonts w:ascii="Sakkal Majalla" w:hAnsi="Sakkal Majalla" w:cs="Sakkal Majalla" w:hint="cs"/>
          <w:b/>
          <w:bCs/>
          <w:sz w:val="32"/>
          <w:szCs w:val="32"/>
          <w:rtl/>
        </w:rPr>
        <w:t>المسيح هو مَن أشعل النور، لكيما نعرف حالتنا</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السراج يضعونه على منارة لينظر الداخلون النور (لوقا 8: 16). الإنسان يوضع أمام السؤال: "هل أراه أم لا</w:t>
      </w:r>
      <w:r w:rsidR="00ED269C">
        <w:rPr>
          <w:rFonts w:ascii="Sakkal Majalla" w:hAnsi="Sakkal Majalla" w:cs="Sakkal Majalla" w:hint="cs"/>
          <w:sz w:val="28"/>
          <w:szCs w:val="28"/>
          <w:rtl/>
        </w:rPr>
        <w:t xml:space="preserve"> أراه</w:t>
      </w:r>
      <w:r>
        <w:rPr>
          <w:rFonts w:ascii="Sakkal Majalla" w:hAnsi="Sakkal Majalla" w:cs="Sakkal Majalla" w:hint="cs"/>
          <w:sz w:val="28"/>
          <w:szCs w:val="28"/>
          <w:rtl/>
        </w:rPr>
        <w:t>؟" المسيح أشعل النور في العالم. الله خبّر عن ذاته فيه، ونتيجةً لذلك هو أنك تستطيع أن تميّز حالتك. إن قلت: "</w:t>
      </w:r>
      <w:r w:rsidRPr="005D7568">
        <w:rPr>
          <w:rFonts w:ascii="Sakkal Majalla" w:hAnsi="Sakkal Majalla" w:cs="Sakkal Majalla"/>
          <w:sz w:val="28"/>
          <w:szCs w:val="28"/>
          <w:rtl/>
        </w:rPr>
        <w:t>ائْذَنْ لِي أَنْ أَمْضِيَ أَوَّلاً وَأَدْفِنَ أَبِي</w:t>
      </w:r>
      <w:r>
        <w:rPr>
          <w:rFonts w:ascii="Sakkal Majalla" w:hAnsi="Sakkal Majalla" w:cs="Sakkal Majalla" w:hint="cs"/>
          <w:sz w:val="28"/>
          <w:szCs w:val="28"/>
          <w:rtl/>
        </w:rPr>
        <w:t>" (قارن لوقا 9: 59)، فإنك تفضّل شيئًا آخر عنه.</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 xml:space="preserve">إن لم يكن جسدي كله نيرًا فستفقد عيني بساطتها. هناك أمر يقف أمام قوة المسيح لست مستعدًا بأن أتنازل عنه. يقول الناس، بأنهم لا يستطيعون أن يروه هكذا. كلا، بالطبع هم لا يستطيعون أن يروه هكذا، لأنه وقع على عينهم "نور" من نوع آخر. وإن لم يسلكوا في قوة النور الذي لهم اليوم، فسريعًا ما سيفقدون أيضًا ما يرونه اليوم. لذا </w:t>
      </w:r>
      <w:r w:rsidR="003B7C56">
        <w:rPr>
          <w:rFonts w:ascii="Sakkal Majalla" w:hAnsi="Sakkal Majalla" w:cs="Sakkal Majalla" w:hint="cs"/>
          <w:sz w:val="28"/>
          <w:szCs w:val="28"/>
          <w:rtl/>
        </w:rPr>
        <w:t>ي</w:t>
      </w:r>
      <w:r>
        <w:rPr>
          <w:rFonts w:ascii="Sakkal Majalla" w:hAnsi="Sakkal Majalla" w:cs="Sakkal Majalla" w:hint="cs"/>
          <w:sz w:val="28"/>
          <w:szCs w:val="28"/>
          <w:rtl/>
        </w:rPr>
        <w:t>قول الرب: "</w:t>
      </w:r>
      <w:r w:rsidRPr="005D7568">
        <w:rPr>
          <w:rFonts w:ascii="Sakkal Majalla" w:hAnsi="Sakkal Majalla" w:cs="Sakkal Majalla"/>
          <w:sz w:val="28"/>
          <w:szCs w:val="28"/>
          <w:rtl/>
        </w:rPr>
        <w:t xml:space="preserve"> </w:t>
      </w:r>
      <w:r w:rsidRPr="005D7568">
        <w:rPr>
          <w:rFonts w:ascii="Sakkal Majalla" w:hAnsi="Sakkal Majalla" w:cs="Sakkal Majalla"/>
          <w:sz w:val="28"/>
          <w:szCs w:val="28"/>
          <w:rtl/>
        </w:rPr>
        <w:t>اُنْظُرْ إِذًا لِئَلاَّ يَكُونَ النُّورُ الَّذِي فِيكَ ظُلْمَةً</w:t>
      </w:r>
      <w:r>
        <w:rPr>
          <w:rFonts w:ascii="Sakkal Majalla" w:hAnsi="Sakkal Majalla" w:cs="Sakkal Majalla" w:hint="cs"/>
          <w:sz w:val="28"/>
          <w:szCs w:val="28"/>
          <w:rtl/>
        </w:rPr>
        <w:t>." من الممكن أن يكون حكمنا خاطئ، لأن المسيح لم يعُد هو القياس، وعندها يصبح النور ظلمة. إننا سننقاد بصورة خاطئة ونضل عن الطريق.</w:t>
      </w:r>
    </w:p>
    <w:p w:rsidR="005D7568" w:rsidRPr="00BF7C0A" w:rsidRDefault="005D7568" w:rsidP="005D7568">
      <w:pPr>
        <w:bidi/>
        <w:jc w:val="both"/>
        <w:rPr>
          <w:rFonts w:ascii="Sakkal Majalla" w:hAnsi="Sakkal Majalla" w:cs="Sakkal Majalla"/>
          <w:b/>
          <w:bCs/>
          <w:sz w:val="32"/>
          <w:szCs w:val="32"/>
          <w:rtl/>
        </w:rPr>
      </w:pPr>
      <w:r w:rsidRPr="00BF7C0A">
        <w:rPr>
          <w:rFonts w:ascii="Sakkal Majalla" w:hAnsi="Sakkal Majalla" w:cs="Sakkal Majalla" w:hint="cs"/>
          <w:b/>
          <w:bCs/>
          <w:sz w:val="32"/>
          <w:szCs w:val="32"/>
          <w:rtl/>
        </w:rPr>
        <w:t>إن نظرنا إلى المسيح نحكم على كل خطية فينا</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عندما تمتلئ العين بالمسيح ونحكم كل شيء في نور هذا النور، فسأحكم على كل ما لا يمجد المسيح. من الممكن أن أكون مجرد إناءً صغيرًا، ولكن ينبغي أن أكون كلّي للمسيح.</w:t>
      </w:r>
    </w:p>
    <w:p w:rsid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ليتنا نسلك</w:t>
      </w:r>
      <w:r w:rsidR="00ED269C">
        <w:rPr>
          <w:rFonts w:ascii="Sakkal Majalla" w:hAnsi="Sakkal Majalla" w:cs="Sakkal Majalla" w:hint="cs"/>
          <w:sz w:val="28"/>
          <w:szCs w:val="28"/>
          <w:rtl/>
        </w:rPr>
        <w:t xml:space="preserve"> في</w:t>
      </w:r>
      <w:bookmarkStart w:id="0" w:name="_GoBack"/>
      <w:bookmarkEnd w:id="0"/>
      <w:r>
        <w:rPr>
          <w:rFonts w:ascii="Sakkal Majalla" w:hAnsi="Sakkal Majalla" w:cs="Sakkal Majalla" w:hint="cs"/>
          <w:sz w:val="28"/>
          <w:szCs w:val="28"/>
          <w:rtl/>
        </w:rPr>
        <w:t xml:space="preserve"> طرقنا في قوة الروح القدس و </w:t>
      </w:r>
      <w:r>
        <w:rPr>
          <w:rFonts w:ascii="Sakkal Majalla" w:hAnsi="Sakkal Majalla" w:cs="Sakkal Majalla"/>
          <w:sz w:val="28"/>
          <w:szCs w:val="28"/>
          <w:rtl/>
        </w:rPr>
        <w:t>–</w:t>
      </w:r>
      <w:r>
        <w:rPr>
          <w:rFonts w:ascii="Sakkal Majalla" w:hAnsi="Sakkal Majalla" w:cs="Sakkal Majalla" w:hint="cs"/>
          <w:sz w:val="28"/>
          <w:szCs w:val="28"/>
          <w:rtl/>
        </w:rPr>
        <w:t xml:space="preserve"> ونحن مثبتين نظرنا عليه وعليه فقط </w:t>
      </w:r>
      <w:r>
        <w:rPr>
          <w:rFonts w:ascii="Sakkal Majalla" w:hAnsi="Sakkal Majalla" w:cs="Sakkal Majalla"/>
          <w:sz w:val="28"/>
          <w:szCs w:val="28"/>
          <w:rtl/>
        </w:rPr>
        <w:t>–</w:t>
      </w:r>
      <w:r>
        <w:rPr>
          <w:rFonts w:ascii="Sakkal Majalla" w:hAnsi="Sakkal Majalla" w:cs="Sakkal Majalla" w:hint="cs"/>
          <w:sz w:val="28"/>
          <w:szCs w:val="28"/>
          <w:rtl/>
        </w:rPr>
        <w:t xml:space="preserve"> ننقاد بإرشاد (تعليم) ربنا يسوع المسيح بأن نتبعه ولا نبتغي أي طريق آخر! وإن أتت أمام عيوننا أمور أخرى، نقول عندها: "</w:t>
      </w:r>
      <w:r w:rsidRPr="005D7568">
        <w:rPr>
          <w:rFonts w:ascii="Sakkal Majalla" w:hAnsi="Sakkal Majalla" w:cs="Sakkal Majalla"/>
          <w:sz w:val="28"/>
          <w:szCs w:val="28"/>
          <w:rtl/>
        </w:rPr>
        <w:t>وَلكِنِّي أَفْعَلُ شَيْئًا وَاحِدًا</w:t>
      </w:r>
      <w:r>
        <w:rPr>
          <w:rFonts w:ascii="Sakkal Majalla" w:hAnsi="Sakkal Majalla" w:cs="Sakkal Majalla" w:hint="cs"/>
          <w:sz w:val="28"/>
          <w:szCs w:val="28"/>
          <w:rtl/>
        </w:rPr>
        <w:t>" (فيلبي 3: 14).</w:t>
      </w:r>
    </w:p>
    <w:p w:rsidR="005D7568" w:rsidRPr="005D7568" w:rsidRDefault="005D7568" w:rsidP="005D7568">
      <w:pPr>
        <w:bidi/>
        <w:jc w:val="both"/>
        <w:rPr>
          <w:rFonts w:ascii="Sakkal Majalla" w:hAnsi="Sakkal Majalla" w:cs="Sakkal Majalla"/>
          <w:sz w:val="28"/>
          <w:szCs w:val="28"/>
          <w:rtl/>
        </w:rPr>
      </w:pPr>
      <w:r>
        <w:rPr>
          <w:rFonts w:ascii="Sakkal Majalla" w:hAnsi="Sakkal Majalla" w:cs="Sakkal Majalla" w:hint="cs"/>
          <w:sz w:val="28"/>
          <w:szCs w:val="28"/>
          <w:rtl/>
        </w:rPr>
        <w:t xml:space="preserve">صدر في: </w:t>
      </w:r>
      <w:r w:rsidRPr="005D7568">
        <w:rPr>
          <w:rFonts w:ascii="Sakkal Majalla" w:hAnsi="Sakkal Majalla" w:cs="Sakkal Majalla" w:hint="cs"/>
          <w:b/>
          <w:bCs/>
          <w:color w:val="FF0000"/>
          <w:sz w:val="28"/>
          <w:szCs w:val="28"/>
          <w:rtl/>
        </w:rPr>
        <w:t>تشجيع وإنذار</w:t>
      </w:r>
      <w:r>
        <w:rPr>
          <w:rFonts w:ascii="Sakkal Majalla" w:hAnsi="Sakkal Majalla" w:cs="Sakkal Majalla" w:hint="cs"/>
          <w:sz w:val="28"/>
          <w:szCs w:val="28"/>
          <w:rtl/>
        </w:rPr>
        <w:t>، 1995، صفحة 11.</w:t>
      </w:r>
    </w:p>
    <w:sectPr w:rsidR="005D7568" w:rsidRPr="005D75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68"/>
    <w:rsid w:val="00287D4C"/>
    <w:rsid w:val="003B7C56"/>
    <w:rsid w:val="005D7568"/>
    <w:rsid w:val="00614739"/>
    <w:rsid w:val="00BF7C0A"/>
    <w:rsid w:val="00ED269C"/>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3EC1D"/>
  <w15:chartTrackingRefBased/>
  <w15:docId w15:val="{E6B60E08-0FB9-4799-B8F7-0CE253FEE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7D4C"/>
    <w:rPr>
      <w:color w:val="0563C1" w:themeColor="hyperlink"/>
      <w:u w:val="single"/>
    </w:rPr>
  </w:style>
  <w:style w:type="character" w:styleId="UnresolvedMention">
    <w:name w:val="Unresolved Mention"/>
    <w:basedOn w:val="DefaultParagraphFont"/>
    <w:uiPriority w:val="99"/>
    <w:semiHidden/>
    <w:unhideWhenUsed/>
    <w:rsid w:val="00287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praxis.de/index.php?article.214"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343</Words>
  <Characters>1961</Characters>
  <Application>Microsoft Office Word</Application>
  <DocSecurity>0</DocSecurity>
  <Lines>16</Lines>
  <Paragraphs>4</Paragraphs>
  <ScaleCrop>false</ScaleCrop>
  <Company/>
  <LinksUpToDate>false</LinksUpToDate>
  <CharactersWithSpaces>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5</cp:revision>
  <dcterms:created xsi:type="dcterms:W3CDTF">2020-11-12T23:27:00Z</dcterms:created>
  <dcterms:modified xsi:type="dcterms:W3CDTF">2020-11-13T00:09:00Z</dcterms:modified>
</cp:coreProperties>
</file>