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03B6C" w14:textId="42AF0EC2" w:rsidR="000E5AAD" w:rsidRDefault="00CD4550" w:rsidP="000E5AAD">
      <w:pPr>
        <w:jc w:val="both"/>
        <w:rPr>
          <w:rtl/>
        </w:rPr>
      </w:pPr>
      <w:hyperlink r:id="rId4" w:history="1">
        <w:r w:rsidR="000E5AAD" w:rsidRPr="00CD4550">
          <w:rPr>
            <w:rStyle w:val="Hyperlink"/>
            <w:rtl/>
          </w:rPr>
          <w:t>تأمل في النبي زكريا</w:t>
        </w:r>
      </w:hyperlink>
      <w:r w:rsidR="000E5AAD">
        <w:rPr>
          <w:rtl/>
        </w:rPr>
        <w:t xml:space="preserve"> - سينوبسيس</w:t>
      </w:r>
    </w:p>
    <w:p w14:paraId="3D62EC41" w14:textId="311D4850" w:rsidR="00CD4550" w:rsidRDefault="00CD4550" w:rsidP="000E5AAD">
      <w:pPr>
        <w:jc w:val="both"/>
      </w:pPr>
      <w:r w:rsidRPr="00CD4550">
        <w:t>John Nelson Darby</w:t>
      </w:r>
    </w:p>
    <w:p w14:paraId="43381179" w14:textId="708FF2AE" w:rsidR="00D2439A" w:rsidRDefault="00D2439A" w:rsidP="00D2439A">
      <w:pPr>
        <w:jc w:val="both"/>
        <w:rPr>
          <w:rtl/>
        </w:rPr>
      </w:pPr>
      <w:r>
        <w:rPr>
          <w:rtl/>
        </w:rPr>
        <w:t>تمهيد</w:t>
      </w:r>
    </w:p>
    <w:p w14:paraId="5D5DF253" w14:textId="10B3BDDD" w:rsidR="00D2439A" w:rsidRDefault="00D2439A" w:rsidP="00D2439A">
      <w:pPr>
        <w:jc w:val="both"/>
        <w:rPr>
          <w:rtl/>
        </w:rPr>
      </w:pPr>
      <w:r>
        <w:rPr>
          <w:rtl/>
        </w:rPr>
        <w:t xml:space="preserve">زكريا ينشغل أكثر من كل مِن النبيين الآخرين اللذان تنبآ في فترة السبي </w:t>
      </w:r>
      <w:r w:rsidR="00050AA9">
        <w:rPr>
          <w:rtl/>
        </w:rPr>
        <w:t xml:space="preserve">عن </w:t>
      </w:r>
      <w:r>
        <w:rPr>
          <w:rtl/>
        </w:rPr>
        <w:t>ممالك الأمم، ال</w:t>
      </w:r>
      <w:r w:rsidR="00050AA9">
        <w:rPr>
          <w:rtl/>
        </w:rPr>
        <w:t>تي</w:t>
      </w:r>
      <w:r>
        <w:rPr>
          <w:rtl/>
        </w:rPr>
        <w:t xml:space="preserve"> كان على اليهود أن يحملوا نيره</w:t>
      </w:r>
      <w:r w:rsidR="00050AA9">
        <w:rPr>
          <w:rtl/>
        </w:rPr>
        <w:t>ا</w:t>
      </w:r>
      <w:r>
        <w:rPr>
          <w:rtl/>
        </w:rPr>
        <w:t>، كما و</w:t>
      </w:r>
      <w:r w:rsidR="00050AA9">
        <w:rPr>
          <w:rtl/>
        </w:rPr>
        <w:t xml:space="preserve">عن </w:t>
      </w:r>
      <w:r>
        <w:rPr>
          <w:rtl/>
        </w:rPr>
        <w:t xml:space="preserve">كيف سينشأ ذلك النظام الرائع للأمور الذي سيرافق حضور المسيا، في كل كماله؛ كما ومن الجانب الآخر أيضًا </w:t>
      </w:r>
      <w:r w:rsidR="00050AA9">
        <w:rPr>
          <w:rtl/>
        </w:rPr>
        <w:t xml:space="preserve">عن </w:t>
      </w:r>
      <w:r>
        <w:rPr>
          <w:rtl/>
        </w:rPr>
        <w:t xml:space="preserve">رفض المسيا من جانب البقية العائدة من السبي؛ فضلاً عن الحالة البائسة، العديمة الإيمان التي سيُترك الشعب لها </w:t>
      </w:r>
      <w:r w:rsidR="00C27BE7">
        <w:rPr>
          <w:rtl/>
        </w:rPr>
        <w:t xml:space="preserve">والتي سيحملها أخيرًا علانية أمام مرأى العيون؛ وأخيرًا </w:t>
      </w:r>
      <w:r w:rsidR="00050AA9">
        <w:rPr>
          <w:rtl/>
        </w:rPr>
        <w:t xml:space="preserve">عن </w:t>
      </w:r>
      <w:r w:rsidR="00C27BE7">
        <w:rPr>
          <w:rtl/>
        </w:rPr>
        <w:t>هجومات أعداء الرب الأخيرة على إسرائيل، بالأخص مع الذين سيتوجهون ضد أورشليم. هو يخبر بفناء أولئك الأعداء بدينونة الله كما وبمجد وقداسة الشعب من بعد خلاصه بذراع الرب، الذي من تلك اللحظة سيحكم على كل الأرض وسيتمجد. إننا هنا نجد كامل تاريخ إسرائيل وتصرف الأمم مع هذا الشعب ابتداءً من السبي وحتى النهاية، طالما أن الأمر مرتبط بأورشليم، التي مشغول النبي في الأساس بتجديدها. فإن كان في حجي البيت هو الموضوع الرئيسي، ففي زكريا أورشليم هي النقطة التي يدور حولها كل شيء، حتى وإن كان الهيكل وأكثر منه المسيا بصورة خاصة هما اللذان يأخذان الصدارة على امتداد النبوة.</w:t>
      </w:r>
    </w:p>
    <w:p w14:paraId="302A329E" w14:textId="77777777" w:rsidR="00876BF6" w:rsidRDefault="00DD2D7A" w:rsidP="00D2439A">
      <w:pPr>
        <w:jc w:val="both"/>
        <w:rPr>
          <w:rtl/>
        </w:rPr>
        <w:sectPr w:rsidR="00876BF6" w:rsidSect="00BE7C24">
          <w:pgSz w:w="11906" w:h="16838"/>
          <w:pgMar w:top="1440" w:right="1440" w:bottom="1440" w:left="1440" w:header="708" w:footer="708" w:gutter="0"/>
          <w:cols w:space="708"/>
          <w:bidi/>
          <w:rtlGutter/>
          <w:docGrid w:linePitch="360"/>
        </w:sectPr>
      </w:pPr>
      <w:r>
        <w:rPr>
          <w:rtl/>
        </w:rPr>
        <w:t xml:space="preserve">إن الفترة التي حدثت فيها نبوات زكريا تكاد تكون هي ذاتها كما مع نبوات حجي. نحن نجد في زكريا عدا عن التاريخين المذكورين في بداية السفر، تاريخين آخرين أيضًا، حيث تنبأ حجي أثناءها الأربعة. التاريخ الأول في زكريا يصل فقط إلى ما قبل شهر أو شهرين من التاريخين اللذان ذكرهما حجي أخيرًا وكلاهما عن </w:t>
      </w:r>
      <w:r w:rsidR="00FE55AB">
        <w:rPr>
          <w:rtl/>
        </w:rPr>
        <w:t>اليوم ذاته</w:t>
      </w:r>
      <w:r>
        <w:rPr>
          <w:rtl/>
        </w:rPr>
        <w:t>. في فترة النبوة الثانية لزكريا (زكريا 7) لم يكن الهيكل قد اكتمل كله، غير أنه كان قد تأسس بصورة كافية ليكون</w:t>
      </w:r>
      <w:r w:rsidR="00FE55AB">
        <w:rPr>
          <w:rtl/>
        </w:rPr>
        <w:t xml:space="preserve"> مكانًا للعبادة، حتى وإن لم يتم الاحتفال بتدشينه.</w:t>
      </w:r>
    </w:p>
    <w:p w14:paraId="3C76FEAE" w14:textId="246F147F" w:rsidR="00C27BE7" w:rsidRDefault="001E4504" w:rsidP="00D2439A">
      <w:pPr>
        <w:jc w:val="both"/>
        <w:rPr>
          <w:rtl/>
        </w:rPr>
      </w:pPr>
      <w:hyperlink r:id="rId5" w:history="1">
        <w:r w:rsidR="00876BF6" w:rsidRPr="00876BF6">
          <w:rPr>
            <w:rStyle w:val="Hyperlink"/>
            <w:rtl/>
          </w:rPr>
          <w:t>إصحاح 1</w:t>
        </w:r>
      </w:hyperlink>
    </w:p>
    <w:p w14:paraId="54720A67" w14:textId="0D6553A8" w:rsidR="00876BF6" w:rsidRDefault="00876BF6" w:rsidP="00D2439A">
      <w:pPr>
        <w:jc w:val="both"/>
        <w:rPr>
          <w:rtl/>
        </w:rPr>
      </w:pPr>
      <w:r>
        <w:rPr>
          <w:rtl/>
        </w:rPr>
        <w:t>يبدأ روح الله بنداء إنذار يُشير إلى البراهين الموجودة في تاريخ الشعب، كيفما أثّرت كلمة النبي عليه. إن غضب الرب الذي لم يوفّر الأنبياء تحذيراتهم للشعب منه، أتى بنتيجة؛ أما الآن فقد انشغل الله بتصرف الأمم الذين أعطاهم السلطة وأسلموا أنفسهم للشعور بالأمان دون أن يكترثوا بحالة شعب الله البائسة، الساقطة.</w:t>
      </w:r>
    </w:p>
    <w:p w14:paraId="03470138" w14:textId="6E43C10F" w:rsidR="00B87868" w:rsidRDefault="00B87868" w:rsidP="00D2439A">
      <w:pPr>
        <w:jc w:val="both"/>
        <w:rPr>
          <w:rtl/>
        </w:rPr>
      </w:pPr>
      <w:r>
        <w:rPr>
          <w:rtl/>
        </w:rPr>
        <w:t xml:space="preserve">إلا أن الله اعتنى به. هو مغتاظ جدًا على الأمم المستأمنين ويغار غيرة شديدة على أورشليم. هو التفت من جديد إلى أورشليم بمراحم؛ </w:t>
      </w:r>
      <w:r w:rsidR="00083454">
        <w:rPr>
          <w:rtl/>
        </w:rPr>
        <w:t>فخير</w:t>
      </w:r>
      <w:r w:rsidR="00B67168">
        <w:rPr>
          <w:rtl/>
        </w:rPr>
        <w:t>ٌ</w:t>
      </w:r>
      <w:r w:rsidR="00083454">
        <w:rPr>
          <w:rtl/>
        </w:rPr>
        <w:t xml:space="preserve"> فائض سيكون من نصيب شعبه. ويمكن للمرء أن يلاحظ هنا، بأنه من خلال الدينونة التي قد حلّت على بابل، تمت الدينونة مبدئيًا على الظالم من بين الأمم، على رئيس مملكة العالم، على رأس التمثال الذهبي، وبأن البركة الموعود بها هنا تستهدف الجزء الذي ستفرح به أورشليم عندما سيُدان القامع نهائيًا.</w:t>
      </w:r>
    </w:p>
    <w:p w14:paraId="1718835E" w14:textId="24C8A667" w:rsidR="00083454" w:rsidRDefault="00083454" w:rsidP="00D2439A">
      <w:pPr>
        <w:jc w:val="both"/>
        <w:rPr>
          <w:rtl/>
        </w:rPr>
      </w:pPr>
      <w:r>
        <w:rPr>
          <w:rtl/>
        </w:rPr>
        <w:t xml:space="preserve">لقد كان أمام الروح ثلاثة ممالك. والعالم كان مستريحًا وفي سلام في حُكم المملكة الثانية من الأربعة، أو الأولى من الثلاثة الأولى. – الجواد هو في الكتاب المقدس الرمز للقوة الإلهية في حكومة الأرض؛ ففي الحالة التي أمامنا يتعلق الأمر بالمسألة، كيف ظهرت تلك القوة في </w:t>
      </w:r>
      <w:r w:rsidR="00E83DCF">
        <w:rPr>
          <w:rtl/>
        </w:rPr>
        <w:t>حكومة الممالك</w:t>
      </w:r>
      <w:r>
        <w:rPr>
          <w:rtl/>
        </w:rPr>
        <w:t xml:space="preserve"> </w:t>
      </w:r>
      <w:r w:rsidR="00E83DCF">
        <w:rPr>
          <w:rtl/>
        </w:rPr>
        <w:t>التي تلت نبوخذنصر. عدا عن الجواد الواقف بين الآس، نلاحظ هنا ثلاث أنواع من الجياد. إلا أنه من خلالها يُعرّض أرواح تلك الممالك العاملة تحت رعاية الله أكثر من الممالك بحد ذاتها. إن النوع الأول من الجياد المذكورة لونها كلون الرجل الواقف بين الآس. وربما سبب هذا يعود بأن كورش والفُرس منحوا الحرية لشعب الله وأحسنوا إليه كما سيفعل الرب يسوع بنفسه في عظمة سلطانه.</w:t>
      </w:r>
    </w:p>
    <w:p w14:paraId="40A47B62" w14:textId="0C35A9F0" w:rsidR="003B4ACB" w:rsidRDefault="003B4ACB" w:rsidP="00D2439A">
      <w:pPr>
        <w:jc w:val="both"/>
        <w:rPr>
          <w:rtl/>
        </w:rPr>
      </w:pPr>
      <w:r>
        <w:rPr>
          <w:rtl/>
        </w:rPr>
        <w:t xml:space="preserve">في الجزء الأول من هذا السفر يرد كالتالي: الدينونة التي تمت تُعلن عن قوة كلمة الله؛ فيتجه الله إلى أورشليم ثانية بالمراحم ويعزيها. إنه منقاد بغيرة لها ومغتاظ بغضب شديد على الأمم الذين </w:t>
      </w:r>
      <w:r w:rsidR="00B82D5F">
        <w:rPr>
          <w:rtl/>
        </w:rPr>
        <w:t>لم يكونوا مهتمين ومستأمنين، بينما أورشليم كانت في دمار.</w:t>
      </w:r>
    </w:p>
    <w:p w14:paraId="01C51A15" w14:textId="2C35D2CD" w:rsidR="008A456C" w:rsidRDefault="008A456C" w:rsidP="00D2439A">
      <w:pPr>
        <w:jc w:val="both"/>
        <w:rPr>
          <w:rtl/>
        </w:rPr>
      </w:pPr>
      <w:r>
        <w:rPr>
          <w:rtl/>
        </w:rPr>
        <w:t>إننا نميّز من الرؤيا</w:t>
      </w:r>
      <w:r w:rsidR="00E50550">
        <w:rPr>
          <w:rtl/>
        </w:rPr>
        <w:t xml:space="preserve"> التي رآها، كيف أن كل شؤون ممالك الأمم تحت إشراف الله وكيف أن كل شيء خاضع للعناية الإلهية. هو كان محتاطًا بكل عِلم من أجل شعبه، لذا فقد أخبر بأنه مشغول بأن يُحسن</w:t>
      </w:r>
      <w:r w:rsidR="00675393">
        <w:rPr>
          <w:rtl/>
        </w:rPr>
        <w:t xml:space="preserve"> ويبارك </w:t>
      </w:r>
      <w:r w:rsidR="00E50550">
        <w:rPr>
          <w:rtl/>
        </w:rPr>
        <w:t>مدينته التي اختارها</w:t>
      </w:r>
      <w:r w:rsidR="00675393">
        <w:rPr>
          <w:rtl/>
        </w:rPr>
        <w:t>، في هذه الأثناء، ما يجب الانتباه إليه، كان يهوذا قد أُدخل لفترة وجيزة في التمتع بامتيازات عبادته لله ثانية وبنفس الوقت نُقل إلى مكانة استطاع أن يكون فيها ليستقبل المسيا، لكيما تتم بالتالي مقاصد الله.</w:t>
      </w:r>
    </w:p>
    <w:p w14:paraId="2748D568" w14:textId="77777777" w:rsidR="00E33B31" w:rsidRDefault="00BA0BFD" w:rsidP="00D2439A">
      <w:pPr>
        <w:jc w:val="both"/>
        <w:rPr>
          <w:rtl/>
        </w:rPr>
        <w:sectPr w:rsidR="00E33B31" w:rsidSect="00BE7C24">
          <w:pgSz w:w="11906" w:h="16838"/>
          <w:pgMar w:top="1440" w:right="1440" w:bottom="1440" w:left="1440" w:header="708" w:footer="708" w:gutter="0"/>
          <w:cols w:space="708"/>
          <w:bidi/>
          <w:rtlGutter/>
          <w:docGrid w:linePitch="360"/>
        </w:sectPr>
      </w:pPr>
      <w:r>
        <w:rPr>
          <w:rtl/>
        </w:rPr>
        <w:t xml:space="preserve">إن الرؤيا التي رآها في نهاية الإصحاح تختص بجميع الممالك، التي دخلت في علاقة مع يهوذا وأورشليم حتى تحريرهما نهائيًا واضطهدتهم. القرون تبدو </w:t>
      </w:r>
      <w:r w:rsidR="00EF4DFD">
        <w:rPr>
          <w:rtl/>
        </w:rPr>
        <w:t>أنها رموز لسلطات، بينما الحدادون هم الآنية التي يستخدمها الله لتحطيمها تحطيمًا. كما نرى فإن إسرائيل تُذكَر من بينها في العدد 19؛ إنه يبدو لي، بأنه بذلك يُشار إليه ببساطة كجزء من صورة كاملة، دون الدخول في التفاصيل. إذ نينوى وقعت تحت نير بابل وبالتالي أيضًا كان إسرائيل خاضعًا لمملكة العالم فعلاً، فبكل بساطة يُذكر كل شيء معًا.</w:t>
      </w:r>
    </w:p>
    <w:p w14:paraId="27E4C310" w14:textId="103952EE" w:rsidR="00BA0BFD" w:rsidRDefault="001E4504" w:rsidP="00D2439A">
      <w:pPr>
        <w:jc w:val="both"/>
        <w:rPr>
          <w:rtl/>
        </w:rPr>
      </w:pPr>
      <w:hyperlink r:id="rId6" w:history="1">
        <w:r w:rsidR="00E33B31" w:rsidRPr="00E33B31">
          <w:rPr>
            <w:rStyle w:val="Hyperlink"/>
            <w:rtl/>
          </w:rPr>
          <w:t>عن الإصحاحات 2 - 6</w:t>
        </w:r>
      </w:hyperlink>
    </w:p>
    <w:p w14:paraId="60359D1C" w14:textId="77777777" w:rsidR="002B0535" w:rsidRDefault="00E33B31" w:rsidP="00EF78C3">
      <w:pPr>
        <w:jc w:val="both"/>
        <w:rPr>
          <w:rtl/>
        </w:rPr>
        <w:sectPr w:rsidR="002B0535" w:rsidSect="00BE7C24">
          <w:pgSz w:w="11906" w:h="16838"/>
          <w:pgMar w:top="1440" w:right="1440" w:bottom="1440" w:left="1440" w:header="708" w:footer="708" w:gutter="0"/>
          <w:cols w:space="708"/>
          <w:bidi/>
          <w:rtlGutter/>
          <w:docGrid w:linePitch="360"/>
        </w:sectPr>
      </w:pPr>
      <w:r>
        <w:rPr>
          <w:rtl/>
        </w:rPr>
        <w:t xml:space="preserve">في هذه الإصحاحات يرينا الروح الظروف التي ستتجدد فيها أورشليم والبيت من جديد، مع كل المبادئ التي ستدخل قيد تنفيذها، </w:t>
      </w:r>
      <w:r w:rsidR="00EF78C3">
        <w:rPr>
          <w:rtl/>
        </w:rPr>
        <w:t>فضلاً عن نتيجتها الأخيرة، وأخيرًا دينونة ما كان رديًا وفاسدًا. في كل إصحاح يتم تناول موضوع</w:t>
      </w:r>
      <w:r w:rsidR="00171D57">
        <w:rPr>
          <w:rtl/>
        </w:rPr>
        <w:t>ًا</w:t>
      </w:r>
      <w:r w:rsidR="00EF78C3">
        <w:rPr>
          <w:rtl/>
        </w:rPr>
        <w:t xml:space="preserve"> خاص</w:t>
      </w:r>
      <w:r w:rsidR="00171D57">
        <w:rPr>
          <w:rtl/>
        </w:rPr>
        <w:t>ًا</w:t>
      </w:r>
      <w:r w:rsidR="00EF78C3">
        <w:rPr>
          <w:rtl/>
        </w:rPr>
        <w:t>؛ ففي كل مرة لدينا رؤيا جديدة قائمة في حد ذاتها، غير أنها تشكل جزءً من الصورة الكاملة. إن كانت المسؤولية في الحاضر المتعلقة به البركة، كما والنعمة الغير محدودة، التي بلا شك ستؤول إلى تتميم كل شيء، كل شيء في مكانه، يُستعرض أمام عيوننا.</w:t>
      </w:r>
    </w:p>
    <w:p w14:paraId="569E8DDC" w14:textId="70030AE0" w:rsidR="00EF78C3" w:rsidRDefault="001E4504" w:rsidP="00EF78C3">
      <w:pPr>
        <w:jc w:val="both"/>
        <w:rPr>
          <w:rtl/>
        </w:rPr>
      </w:pPr>
      <w:hyperlink r:id="rId7" w:history="1">
        <w:r w:rsidR="002B0535" w:rsidRPr="002B0535">
          <w:rPr>
            <w:rStyle w:val="Hyperlink"/>
            <w:rtl/>
          </w:rPr>
          <w:t>إصحاح 2</w:t>
        </w:r>
      </w:hyperlink>
    </w:p>
    <w:p w14:paraId="3FC52EB5" w14:textId="490A5DD4" w:rsidR="002B0535" w:rsidRDefault="002B0535" w:rsidP="00EF78C3">
      <w:pPr>
        <w:jc w:val="both"/>
        <w:rPr>
          <w:rtl/>
        </w:rPr>
      </w:pPr>
      <w:r>
        <w:rPr>
          <w:rtl/>
        </w:rPr>
        <w:t xml:space="preserve">في زكريا 2 يتم وصف تجديد أورشليم، وذلك في صورة ملفتة للنظر بصورة خاصة، والتي تسلط الكثير من الضوء على الرابطة المذكورة ما بين العودة التي سمح بها كورش (العبد، </w:t>
      </w:r>
      <w:r w:rsidR="00632381">
        <w:rPr>
          <w:rtl/>
        </w:rPr>
        <w:t>العادل</w:t>
      </w:r>
      <w:r>
        <w:rPr>
          <w:rtl/>
        </w:rPr>
        <w:t xml:space="preserve"> من </w:t>
      </w:r>
      <w:r w:rsidRPr="002B0535">
        <w:rPr>
          <w:rtl/>
        </w:rPr>
        <w:t>مَشْرِقِ الشَّمْسِ</w:t>
      </w:r>
      <w:r>
        <w:rPr>
          <w:rtl/>
        </w:rPr>
        <w:t>)</w:t>
      </w:r>
      <w:r w:rsidR="00632381">
        <w:rPr>
          <w:rtl/>
        </w:rPr>
        <w:t xml:space="preserve"> من السبي البابلي والإنقاذ الذي سيكون من نصيب الشعب بظهور المسيا. فمن البداية يُخبَر بتجديد إسرائيل الكلي، والغير محدود، ويُعطى الوعد، بأن الرب بنفسه سيخيّم على المدينة، وسيؤمن لساكنيها السلامة والسلام وبأنه هو بنفسه، بصفته مجدها، سيسكن في وسطها. إنه يجعلنا نفهم بسهولة مقدار التعزية التي لا بد أن كانت لليهود في وضعهم آنذاك، عندما أعطى الرب وعدًا كهذا وأظهر عطفًا كهذا لأورشليم، وإن لم يكن الوعد قد تم آنذاك.</w:t>
      </w:r>
    </w:p>
    <w:p w14:paraId="2DBE5A5E" w14:textId="2BA53C64" w:rsidR="00D3264B" w:rsidRDefault="00D3264B" w:rsidP="00EF78C3">
      <w:pPr>
        <w:jc w:val="both"/>
        <w:rPr>
          <w:rtl/>
        </w:rPr>
      </w:pPr>
      <w:r>
        <w:rPr>
          <w:rtl/>
        </w:rPr>
        <w:t>الرب ينادي الشعب ويأمره بأن يخرج من أرض الشمال (هي عبارة كان يستخدمها الكلدانيون). وفعلاً تم تنفيذ إصدار حُكم "لوعمي" (هوشع 1: 9)</w:t>
      </w:r>
      <w:r w:rsidR="00B90E19">
        <w:rPr>
          <w:rtl/>
        </w:rPr>
        <w:t xml:space="preserve"> بواسطة السبي البابلي؛ وبالتالي كانت العودة من هناك (من بعدما أن دينت بابل) أول الطريق فقط وعربون لخلاص أفضل من جبروت تلك السلطة التي ستحل في الأيام الأخيرة مكان بابل. صهيون ستتحرر من السبي في بابل. إن هذا قد تم حدوثه جزئيًا بواسطة الملك كورش؛ أما هذا الخلاص فلم يكن ولا بأي حال التتميم التام لمقاصد الله. اليهود سيكونون في نهاية الأيام خاضعين ثانية لسلطة تتطابق مع مكانتها وظهورها من بعد بابل، وسيُنقذون منها؛ غير أن هذا سيحدث عند تلك الأيام فقط، عندما سيظهر الرب في مجد لا يسمح بأية مقاومة لإرادته. من بعد المجد سيُرسل إلى الأمم الذين نهبوا إسرائيل. مجد الرب</w:t>
      </w:r>
      <w:r w:rsidR="001E4504">
        <w:rPr>
          <w:rtl/>
        </w:rPr>
        <w:t xml:space="preserve"> سيلمع</w:t>
      </w:r>
      <w:r w:rsidR="00B90E19">
        <w:rPr>
          <w:rtl/>
        </w:rPr>
        <w:t xml:space="preserve">، وأعداء شعبه سيُدانون؛ لأنه كل مَن يمسّ إسرائيل، الشعب المحبوب على الرب، سيجلب </w:t>
      </w:r>
      <w:r w:rsidR="003B4A31">
        <w:rPr>
          <w:rtl/>
        </w:rPr>
        <w:t>بنفسه</w:t>
      </w:r>
      <w:r w:rsidR="00B90E19">
        <w:rPr>
          <w:rtl/>
        </w:rPr>
        <w:t xml:space="preserve"> دينونة</w:t>
      </w:r>
      <w:r w:rsidR="003B4A31">
        <w:rPr>
          <w:rtl/>
        </w:rPr>
        <w:t xml:space="preserve"> على أكثر شيء يحبه ويقدّره! إن دينونة الأمم ستبرر الكلمة التي قالها الله لشعبه إسرائيل.</w:t>
      </w:r>
    </w:p>
    <w:p w14:paraId="02A1A782" w14:textId="4D438C0A" w:rsidR="001C0B57" w:rsidRDefault="001E4504" w:rsidP="00EF78C3">
      <w:pPr>
        <w:jc w:val="both"/>
        <w:rPr>
          <w:rtl/>
        </w:rPr>
      </w:pPr>
      <w:hyperlink r:id="rId8" w:history="1">
        <w:r w:rsidR="001C0B57" w:rsidRPr="008B7D8C">
          <w:rPr>
            <w:rStyle w:val="Hyperlink"/>
          </w:rPr>
          <w:t>Die Tochter Zion wird aufgefordert</w:t>
        </w:r>
        <w:r w:rsidR="001C0B57" w:rsidRPr="008B7D8C">
          <w:rPr>
            <w:rStyle w:val="Hyperlink"/>
            <w:rtl/>
          </w:rPr>
          <w:t>,</w:t>
        </w:r>
      </w:hyperlink>
    </w:p>
    <w:sectPr w:rsidR="001C0B57"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AD"/>
    <w:rsid w:val="00050AA9"/>
    <w:rsid w:val="00083454"/>
    <w:rsid w:val="000E5AAD"/>
    <w:rsid w:val="00171D57"/>
    <w:rsid w:val="001C0B57"/>
    <w:rsid w:val="001E4504"/>
    <w:rsid w:val="00261C1C"/>
    <w:rsid w:val="002B0535"/>
    <w:rsid w:val="003B4A31"/>
    <w:rsid w:val="003B4ACB"/>
    <w:rsid w:val="00632381"/>
    <w:rsid w:val="00675393"/>
    <w:rsid w:val="007945F8"/>
    <w:rsid w:val="00876BF6"/>
    <w:rsid w:val="008A456C"/>
    <w:rsid w:val="008B7D8C"/>
    <w:rsid w:val="00AD3876"/>
    <w:rsid w:val="00B67168"/>
    <w:rsid w:val="00B82D5F"/>
    <w:rsid w:val="00B87868"/>
    <w:rsid w:val="00B90E19"/>
    <w:rsid w:val="00BA0BFD"/>
    <w:rsid w:val="00BA3232"/>
    <w:rsid w:val="00BE7C24"/>
    <w:rsid w:val="00C27BE7"/>
    <w:rsid w:val="00CD4550"/>
    <w:rsid w:val="00D2439A"/>
    <w:rsid w:val="00D3264B"/>
    <w:rsid w:val="00DD2D7A"/>
    <w:rsid w:val="00E33B31"/>
    <w:rsid w:val="00E50550"/>
    <w:rsid w:val="00E83DCF"/>
    <w:rsid w:val="00EF4DFD"/>
    <w:rsid w:val="00EF78C3"/>
    <w:rsid w:val="00FE55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3A60"/>
  <w15:docId w15:val="{25D2C20D-C475-4B9F-851C-A154C6F4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4550"/>
    <w:rPr>
      <w:color w:val="0563C1" w:themeColor="hyperlink"/>
      <w:u w:val="single"/>
    </w:rPr>
  </w:style>
  <w:style w:type="character" w:styleId="UnresolvedMention">
    <w:name w:val="Unresolved Mention"/>
    <w:basedOn w:val="DefaultParagraphFont"/>
    <w:uiPriority w:val="99"/>
    <w:semiHidden/>
    <w:unhideWhenUsed/>
    <w:rsid w:val="00CD4550"/>
    <w:rPr>
      <w:color w:val="605E5C"/>
      <w:shd w:val="clear" w:color="auto" w:fill="E1DFDD"/>
    </w:rPr>
  </w:style>
  <w:style w:type="character" w:styleId="FollowedHyperlink">
    <w:name w:val="FollowedHyperlink"/>
    <w:basedOn w:val="DefaultParagraphFont"/>
    <w:uiPriority w:val="99"/>
    <w:semiHidden/>
    <w:unhideWhenUsed/>
    <w:rsid w:val="00E505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64/betrachtung-ueber-den-propheten-sacharja-synopsis/kapitel-2" TargetMode="External"/><Relationship Id="rId3" Type="http://schemas.openxmlformats.org/officeDocument/2006/relationships/webSettings" Target="webSettings.xml"/><Relationship Id="rId7" Type="http://schemas.openxmlformats.org/officeDocument/2006/relationships/hyperlink" Target="https://www.bibelkommentare.de/kommentare/k-364/betrachtung-ueber-den-propheten-sacharja-synopsis/kapitel-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363/betrachtung-ueber-den-propheten-sacharja-synopsis/zu-kapitel-2-6" TargetMode="External"/><Relationship Id="rId5" Type="http://schemas.openxmlformats.org/officeDocument/2006/relationships/hyperlink" Target="https://www.bibelkommentare.de/kommentare/k-362/betrachtung-ueber-den-propheten-sacharja-synopsis/kapitel-1" TargetMode="External"/><Relationship Id="rId10" Type="http://schemas.openxmlformats.org/officeDocument/2006/relationships/theme" Target="theme/theme1.xml"/><Relationship Id="rId4" Type="http://schemas.openxmlformats.org/officeDocument/2006/relationships/hyperlink" Target="https://www.bibelkommentare.de/kommentare/71/betrachtung-ueber-den-propheten-sacharja-synopsi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1086</Words>
  <Characters>5433</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20</cp:revision>
  <dcterms:created xsi:type="dcterms:W3CDTF">2021-10-25T21:44:00Z</dcterms:created>
  <dcterms:modified xsi:type="dcterms:W3CDTF">2021-10-27T20:39:00Z</dcterms:modified>
</cp:coreProperties>
</file>