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5695E" w14:textId="42CD9B78" w:rsidR="00BD08B8" w:rsidRDefault="000049B3" w:rsidP="00BD08B8">
      <w:pPr>
        <w:bidi w:val="0"/>
      </w:pPr>
      <w:r>
        <w:rPr>
          <w:noProof/>
        </w:rPr>
        <w:drawing>
          <wp:anchor distT="0" distB="0" distL="114300" distR="114300" simplePos="0" relativeHeight="251658240" behindDoc="1" locked="0" layoutInCell="1" allowOverlap="1" wp14:anchorId="1CE8752B" wp14:editId="2D7E96E7">
            <wp:simplePos x="0" y="0"/>
            <wp:positionH relativeFrom="margin">
              <wp:align>left</wp:align>
            </wp:positionH>
            <wp:positionV relativeFrom="paragraph">
              <wp:posOffset>0</wp:posOffset>
            </wp:positionV>
            <wp:extent cx="961390" cy="961390"/>
            <wp:effectExtent l="0" t="0" r="0" b="0"/>
            <wp:wrapTight wrapText="bothSides">
              <wp:wrapPolygon edited="0">
                <wp:start x="0" y="0"/>
                <wp:lineTo x="0" y="20972"/>
                <wp:lineTo x="20972" y="20972"/>
                <wp:lineTo x="20972" y="0"/>
                <wp:lineTo x="0" y="0"/>
              </wp:wrapPolygon>
            </wp:wrapTight>
            <wp:docPr id="407087306" name="Picture 1" descr="Covid-19 macht Angst :: Manuel Sei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vid-19 macht Angst :: Manuel Seib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62615" cy="962615"/>
                    </a:xfrm>
                    <a:prstGeom prst="rect">
                      <a:avLst/>
                    </a:prstGeom>
                    <a:noFill/>
                    <a:ln>
                      <a:noFill/>
                    </a:ln>
                  </pic:spPr>
                </pic:pic>
              </a:graphicData>
            </a:graphic>
            <wp14:sizeRelH relativeFrom="page">
              <wp14:pctWidth>0</wp14:pctWidth>
            </wp14:sizeRelH>
            <wp14:sizeRelV relativeFrom="page">
              <wp14:pctHeight>0</wp14:pctHeight>
            </wp14:sizeRelV>
          </wp:anchor>
        </w:drawing>
      </w:r>
      <w:r w:rsidR="00BD08B8" w:rsidRPr="00BD08B8">
        <w:t>Manuel Seibel</w:t>
      </w:r>
    </w:p>
    <w:p w14:paraId="35DCC0D6" w14:textId="3AB90299" w:rsidR="00BE011D" w:rsidRDefault="001B117A" w:rsidP="000049B3">
      <w:pPr>
        <w:jc w:val="center"/>
        <w:rPr>
          <w:rtl/>
        </w:rPr>
      </w:pPr>
      <w:hyperlink r:id="rId6" w:anchor=":~:text=DIE%20DOPPELABSCHNITTE%20IN%20KAPITEL%201" w:history="1">
        <w:r w:rsidRPr="001B117A">
          <w:rPr>
            <w:rStyle w:val="Hyperlink"/>
            <w:rtl/>
          </w:rPr>
          <w:t>مقاطع مزدوجة</w:t>
        </w:r>
      </w:hyperlink>
    </w:p>
    <w:p w14:paraId="6F622233" w14:textId="455E5DE1" w:rsidR="001B117A" w:rsidRDefault="001B117A" w:rsidP="000049B3">
      <w:pPr>
        <w:pStyle w:val="ListParagraph"/>
        <w:numPr>
          <w:ilvl w:val="0"/>
          <w:numId w:val="2"/>
        </w:numPr>
        <w:rPr>
          <w:rFonts w:hint="cs"/>
          <w:rtl/>
        </w:rPr>
      </w:pPr>
      <w:r>
        <w:rPr>
          <w:rFonts w:hint="cs"/>
          <w:rtl/>
        </w:rPr>
        <w:t xml:space="preserve">الأعداد 2 </w:t>
      </w:r>
      <w:r>
        <w:rPr>
          <w:rtl/>
        </w:rPr>
        <w:t>–</w:t>
      </w:r>
      <w:r>
        <w:rPr>
          <w:rFonts w:hint="cs"/>
          <w:rtl/>
        </w:rPr>
        <w:t xml:space="preserve"> 4 و 5 </w:t>
      </w:r>
      <w:r>
        <w:rPr>
          <w:rtl/>
        </w:rPr>
        <w:t>–</w:t>
      </w:r>
      <w:r>
        <w:rPr>
          <w:rFonts w:hint="cs"/>
          <w:rtl/>
        </w:rPr>
        <w:t xml:space="preserve"> 8 تشكل وحدة واحدة. من بعد العدد الذي أتى في المقدمة، يتكلم في الأعداد 2 -</w:t>
      </w:r>
      <w:r w:rsidR="00226F17">
        <w:rPr>
          <w:rFonts w:hint="cs"/>
          <w:rtl/>
        </w:rPr>
        <w:t xml:space="preserve"> </w:t>
      </w:r>
      <w:r>
        <w:rPr>
          <w:rFonts w:hint="cs"/>
          <w:rtl/>
        </w:rPr>
        <w:t xml:space="preserve">4 بأن نصبر في التجارب أو الامتحانات وبأن نأخذ موقف خاضع لمشيئة الله. وفي الأعداد 5 </w:t>
      </w:r>
      <w:r>
        <w:rPr>
          <w:rtl/>
        </w:rPr>
        <w:t>–</w:t>
      </w:r>
      <w:r>
        <w:rPr>
          <w:rFonts w:hint="cs"/>
          <w:rtl/>
        </w:rPr>
        <w:t xml:space="preserve"> 8 نتعلم من بعدها بأن هذا الصبر سيُتاح لنا فقط إن طلبنا من الله حكمة في هذه التجارب ووثقنا فيه.</w:t>
      </w:r>
    </w:p>
    <w:p w14:paraId="6330A77C" w14:textId="699E808A" w:rsidR="001B117A" w:rsidRDefault="001B117A" w:rsidP="000049B3">
      <w:pPr>
        <w:pStyle w:val="ListParagraph"/>
        <w:numPr>
          <w:ilvl w:val="0"/>
          <w:numId w:val="2"/>
        </w:numPr>
        <w:rPr>
          <w:rtl/>
        </w:rPr>
      </w:pPr>
      <w:r>
        <w:rPr>
          <w:rFonts w:hint="cs"/>
          <w:rtl/>
        </w:rPr>
        <w:t xml:space="preserve">الأعداد 9 </w:t>
      </w:r>
      <w:r>
        <w:rPr>
          <w:rtl/>
        </w:rPr>
        <w:t>–</w:t>
      </w:r>
      <w:r>
        <w:rPr>
          <w:rFonts w:hint="cs"/>
          <w:rtl/>
        </w:rPr>
        <w:t xml:space="preserve"> 11 والعدد 12 هي وحدة واحدة أخرى. في الأعداد 9 </w:t>
      </w:r>
      <w:r>
        <w:rPr>
          <w:rtl/>
        </w:rPr>
        <w:t>–</w:t>
      </w:r>
      <w:r>
        <w:rPr>
          <w:rFonts w:hint="cs"/>
          <w:rtl/>
        </w:rPr>
        <w:t xml:space="preserve"> 11 نستعلم بأن كل ما هو منظور على هذه الأرض هو فاني. فليس لنا أن نتمسك بأي شيء يُرى بالعيان وفاني. فالذي لا يفنى هو الذي يحتمل التجربة. إن أجرته ليست فقط مجيدة، وإنما لا يمكن المس بها. إنها ثابتة </w:t>
      </w:r>
      <w:r w:rsidR="00686A88">
        <w:rPr>
          <w:rFonts w:hint="cs"/>
          <w:rtl/>
        </w:rPr>
        <w:t>وست</w:t>
      </w:r>
      <w:r w:rsidR="000049B3">
        <w:rPr>
          <w:rFonts w:hint="cs"/>
          <w:rtl/>
        </w:rPr>
        <w:t xml:space="preserve">كون </w:t>
      </w:r>
      <w:r w:rsidR="00686A88">
        <w:rPr>
          <w:rFonts w:hint="cs"/>
          <w:rtl/>
        </w:rPr>
        <w:t>ظ</w:t>
      </w:r>
      <w:r w:rsidR="000049B3">
        <w:rPr>
          <w:rFonts w:hint="cs"/>
          <w:rtl/>
        </w:rPr>
        <w:t>ا</w:t>
      </w:r>
      <w:r w:rsidR="00686A88">
        <w:rPr>
          <w:rFonts w:hint="cs"/>
          <w:rtl/>
        </w:rPr>
        <w:t>هر</w:t>
      </w:r>
      <w:r w:rsidR="000049B3">
        <w:rPr>
          <w:rFonts w:hint="cs"/>
          <w:rtl/>
        </w:rPr>
        <w:t>ة</w:t>
      </w:r>
      <w:r>
        <w:rPr>
          <w:rFonts w:hint="cs"/>
          <w:rtl/>
        </w:rPr>
        <w:t xml:space="preserve"> إلى كل الأبدية</w:t>
      </w:r>
      <w:r w:rsidR="00686A88">
        <w:rPr>
          <w:rFonts w:hint="cs"/>
          <w:rtl/>
        </w:rPr>
        <w:t>: أجرته هي إكليل الحياة.</w:t>
      </w:r>
    </w:p>
    <w:p w14:paraId="684B11F9" w14:textId="251A416C" w:rsidR="00686A88" w:rsidRDefault="00686A88" w:rsidP="000049B3">
      <w:pPr>
        <w:pStyle w:val="ListParagraph"/>
        <w:numPr>
          <w:ilvl w:val="0"/>
          <w:numId w:val="2"/>
        </w:numPr>
        <w:rPr>
          <w:rtl/>
        </w:rPr>
      </w:pPr>
      <w:r>
        <w:rPr>
          <w:rFonts w:hint="cs"/>
          <w:rtl/>
        </w:rPr>
        <w:t xml:space="preserve">الأعداد 13 </w:t>
      </w:r>
      <w:r>
        <w:rPr>
          <w:rtl/>
        </w:rPr>
        <w:t>–</w:t>
      </w:r>
      <w:r>
        <w:rPr>
          <w:rFonts w:hint="cs"/>
          <w:rtl/>
        </w:rPr>
        <w:t xml:space="preserve"> 15 و 16 </w:t>
      </w:r>
      <w:r>
        <w:rPr>
          <w:rtl/>
        </w:rPr>
        <w:t>–</w:t>
      </w:r>
      <w:r>
        <w:rPr>
          <w:rFonts w:hint="cs"/>
          <w:rtl/>
        </w:rPr>
        <w:t xml:space="preserve"> 18 هي أيضًا وحدة واحدة. في الأعداد 13 </w:t>
      </w:r>
      <w:r>
        <w:rPr>
          <w:rtl/>
        </w:rPr>
        <w:t>–</w:t>
      </w:r>
      <w:r>
        <w:rPr>
          <w:rFonts w:hint="cs"/>
          <w:rtl/>
        </w:rPr>
        <w:t xml:space="preserve"> 15 نحن نتعلم، بأن تسليم أنفسنا للشهوات تقودنا إلى خطايا فعلية، والتي تنتهي بالموت. هذا هو طريق الطبيعة العتيقة. أما في الأعداد 16 </w:t>
      </w:r>
      <w:r>
        <w:rPr>
          <w:rtl/>
        </w:rPr>
        <w:t>–</w:t>
      </w:r>
      <w:r>
        <w:rPr>
          <w:rFonts w:hint="cs"/>
          <w:rtl/>
        </w:rPr>
        <w:t xml:space="preserve"> 18 بالمقابل يرينا الله بأنه يهدينا إلى الخير. منه يأتي الخير. إننا نعلم بأن</w:t>
      </w:r>
      <w:r w:rsidR="00716AB0">
        <w:rPr>
          <w:rFonts w:hint="cs"/>
          <w:rtl/>
        </w:rPr>
        <w:t xml:space="preserve">ه لا يكلمنا في الخطية الساكنة فينا وفي الطبيعة العتيقة </w:t>
      </w:r>
      <w:r w:rsidR="00580989">
        <w:rPr>
          <w:rFonts w:hint="cs"/>
          <w:rtl/>
        </w:rPr>
        <w:t>التي بخلاف الله عن "ثوابت" يمكننا الاعتماد عليها. الله بالمقابل هو لا يتغير وكل ما يعطيه هو خير ليس إلا. هذا هو عكس الخطايا والموت. الشهوات تقودنا إلى الموت، والله يقودنا إلى الحياة. إنه حتى وهبنا طبيعة جديدة إذ ولدنا بكلمة الحق. فمن الآن نحن ننتمي لخليقة جديدة.</w:t>
      </w:r>
    </w:p>
    <w:p w14:paraId="6E203469" w14:textId="184B0283" w:rsidR="00580989" w:rsidRDefault="00580989" w:rsidP="000049B3">
      <w:pPr>
        <w:pStyle w:val="ListParagraph"/>
        <w:numPr>
          <w:ilvl w:val="0"/>
          <w:numId w:val="2"/>
        </w:numPr>
        <w:rPr>
          <w:rtl/>
        </w:rPr>
      </w:pPr>
      <w:r>
        <w:rPr>
          <w:rFonts w:hint="cs"/>
          <w:rtl/>
        </w:rPr>
        <w:t xml:space="preserve">الأعداد 19 </w:t>
      </w:r>
      <w:r>
        <w:rPr>
          <w:rtl/>
        </w:rPr>
        <w:t>–</w:t>
      </w:r>
      <w:r>
        <w:rPr>
          <w:rFonts w:hint="cs"/>
          <w:rtl/>
        </w:rPr>
        <w:t xml:space="preserve"> 21 و 22 </w:t>
      </w:r>
      <w:r>
        <w:rPr>
          <w:rtl/>
        </w:rPr>
        <w:t>–</w:t>
      </w:r>
      <w:r>
        <w:rPr>
          <w:rFonts w:hint="cs"/>
          <w:rtl/>
        </w:rPr>
        <w:t xml:space="preserve"> 25 هي كذلك وحدة واحدة. في الأعداد 19 </w:t>
      </w:r>
      <w:r>
        <w:rPr>
          <w:rtl/>
        </w:rPr>
        <w:t>–</w:t>
      </w:r>
      <w:r>
        <w:rPr>
          <w:rFonts w:hint="cs"/>
          <w:rtl/>
        </w:rPr>
        <w:t xml:space="preserve"> 21 نقرأ، كيف يجب أن يكون مظهر حياتنا الأدبية: بلا غضب، أو استياء وعدم نظافة. فبدلاً منها يجب أن تتسم بالكلمة المغروسة فينا. في الأعداد 22 </w:t>
      </w:r>
      <w:r>
        <w:rPr>
          <w:rtl/>
        </w:rPr>
        <w:t>–</w:t>
      </w:r>
      <w:r>
        <w:rPr>
          <w:rFonts w:hint="cs"/>
          <w:rtl/>
        </w:rPr>
        <w:t xml:space="preserve"> 25 يتبعها توضيح من روح الله فيما يتعلق بالكلمة المغروسة: إنه ناموس الحرية الكامل الذي علينا أن نسمع له في حياتنا العملية لكي نكون عاملين فيه. وهذا هو بالضبط ما </w:t>
      </w:r>
      <w:r w:rsidR="0008127B">
        <w:rPr>
          <w:rFonts w:hint="cs"/>
          <w:rtl/>
        </w:rPr>
        <w:t>نريد بأن نعمله كمولودين ثانية</w:t>
      </w:r>
      <w:r w:rsidR="00F672A5">
        <w:rPr>
          <w:rFonts w:hint="cs"/>
          <w:rtl/>
        </w:rPr>
        <w:t xml:space="preserve"> (من جديد).</w:t>
      </w:r>
    </w:p>
    <w:p w14:paraId="73F9EC0F" w14:textId="517940DD" w:rsidR="00F672A5" w:rsidRDefault="00F672A5" w:rsidP="000049B3">
      <w:pPr>
        <w:pStyle w:val="ListParagraph"/>
        <w:numPr>
          <w:ilvl w:val="0"/>
          <w:numId w:val="2"/>
        </w:numPr>
      </w:pPr>
      <w:r>
        <w:rPr>
          <w:rFonts w:hint="cs"/>
          <w:rtl/>
        </w:rPr>
        <w:t>العدد 26 و 27: في الختام تبق</w:t>
      </w:r>
      <w:r w:rsidR="00226F17">
        <w:rPr>
          <w:rFonts w:hint="cs"/>
          <w:rtl/>
        </w:rPr>
        <w:t>ّ</w:t>
      </w:r>
      <w:r>
        <w:rPr>
          <w:rFonts w:hint="cs"/>
          <w:rtl/>
        </w:rPr>
        <w:t xml:space="preserve">ى لدينا عددين منفردين. إننا أولاً نتعلم، ما هو الشيء الذي من خلاله تصبح عبادتنا لله وخدمتنا له غير نافعة: بلسان لا يتوقف عن الكلام، والذي تغذيه الطبيعة العتيقة. في العدد 27 يرينا الله أخيرًا ما هي صورة العبادة المرضية له. ومن الممكن أن نرى في هذين العددين كمُلخّص عام للإصحاح. الله يرغب بأن نتعبد له بعبادة حقيقية. إنها نتيجة رائعة </w:t>
      </w:r>
      <w:r w:rsidR="00226F17">
        <w:rPr>
          <w:rFonts w:hint="cs"/>
          <w:rtl/>
        </w:rPr>
        <w:t>ل</w:t>
      </w:r>
      <w:r>
        <w:rPr>
          <w:rFonts w:hint="cs"/>
          <w:rtl/>
        </w:rPr>
        <w:t>لإيمان الحقيقي.</w:t>
      </w:r>
    </w:p>
    <w:sectPr w:rsidR="00F672A5"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41940"/>
    <w:multiLevelType w:val="hybridMultilevel"/>
    <w:tmpl w:val="9E42C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3323D7"/>
    <w:multiLevelType w:val="hybridMultilevel"/>
    <w:tmpl w:val="1BCA9E3A"/>
    <w:lvl w:ilvl="0" w:tplc="7F4C2960">
      <w:start w:val="1"/>
      <w:numFmt w:val="decimal"/>
      <w:lvlText w:val="%1."/>
      <w:lvlJc w:val="left"/>
      <w:pPr>
        <w:ind w:left="720" w:hanging="360"/>
      </w:pPr>
      <w:rPr>
        <w:rFonts w:hint="default"/>
        <w:b/>
        <w:bCs/>
        <w:color w:val="44546A"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105354">
    <w:abstractNumId w:val="0"/>
  </w:num>
  <w:num w:numId="2" w16cid:durableId="1736005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E8"/>
    <w:rsid w:val="000049B3"/>
    <w:rsid w:val="0008127B"/>
    <w:rsid w:val="001B117A"/>
    <w:rsid w:val="00226F17"/>
    <w:rsid w:val="00580989"/>
    <w:rsid w:val="00601FE8"/>
    <w:rsid w:val="00686A88"/>
    <w:rsid w:val="00716AB0"/>
    <w:rsid w:val="00BD08B8"/>
    <w:rsid w:val="00BE011D"/>
    <w:rsid w:val="00C6505E"/>
    <w:rsid w:val="00E03FA1"/>
    <w:rsid w:val="00F672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9486"/>
  <w15:chartTrackingRefBased/>
  <w15:docId w15:val="{311B6F64-E2A5-4871-B0D5-627C7AB78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117A"/>
    <w:rPr>
      <w:color w:val="0563C1" w:themeColor="hyperlink"/>
      <w:u w:val="single"/>
    </w:rPr>
  </w:style>
  <w:style w:type="character" w:styleId="UnresolvedMention">
    <w:name w:val="Unresolved Mention"/>
    <w:basedOn w:val="DefaultParagraphFont"/>
    <w:uiPriority w:val="99"/>
    <w:semiHidden/>
    <w:unhideWhenUsed/>
    <w:rsid w:val="001B117A"/>
    <w:rPr>
      <w:color w:val="605E5C"/>
      <w:shd w:val="clear" w:color="auto" w:fill="E1DFDD"/>
    </w:rPr>
  </w:style>
  <w:style w:type="paragraph" w:styleId="ListParagraph">
    <w:name w:val="List Paragraph"/>
    <w:basedOn w:val="Normal"/>
    <w:uiPriority w:val="34"/>
    <w:qFormat/>
    <w:rsid w:val="000049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9279/lebendiger-glaube/kapitel-1-1-15"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355</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5</cp:revision>
  <dcterms:created xsi:type="dcterms:W3CDTF">2023-07-01T08:54:00Z</dcterms:created>
  <dcterms:modified xsi:type="dcterms:W3CDTF">2023-07-01T09:52:00Z</dcterms:modified>
</cp:coreProperties>
</file>