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9C6B0" w14:textId="3FFF6806" w:rsidR="00BE011D" w:rsidRDefault="00240B10">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https://haltefest.ch/de/1761-das-leben-von-abraham-aus-prophetischer-sicht</w:instrText>
      </w:r>
      <w:r>
        <w:rPr>
          <w:rFonts w:hint="cs"/>
          <w:rtl/>
        </w:rPr>
        <w:instrText>"</w:instrText>
      </w:r>
      <w:r>
        <w:rPr>
          <w:rtl/>
        </w:rPr>
        <w:instrText xml:space="preserve"> </w:instrText>
      </w:r>
      <w:r>
        <w:rPr>
          <w:rtl/>
        </w:rPr>
      </w:r>
      <w:r>
        <w:rPr>
          <w:rtl/>
        </w:rPr>
        <w:fldChar w:fldCharType="separate"/>
      </w:r>
      <w:r w:rsidRPr="00240B10">
        <w:rPr>
          <w:rStyle w:val="Hyperlink"/>
          <w:rFonts w:hint="cs"/>
          <w:rtl/>
        </w:rPr>
        <w:t>حياة إبراهيم بنظرة نبوية</w:t>
      </w:r>
      <w:r>
        <w:rPr>
          <w:rtl/>
        </w:rPr>
        <w:fldChar w:fldCharType="end"/>
      </w:r>
    </w:p>
    <w:p w14:paraId="167497AA" w14:textId="56A1BE1B" w:rsidR="00240B10" w:rsidRDefault="00240B10" w:rsidP="00240B10">
      <w:pPr>
        <w:bidi w:val="0"/>
      </w:pPr>
      <w:r w:rsidRPr="00240B10">
        <w:t>Max Billeter</w:t>
      </w:r>
    </w:p>
    <w:p w14:paraId="368D232A" w14:textId="72908B6C" w:rsidR="00240B10" w:rsidRDefault="00C212A5">
      <w:pPr>
        <w:rPr>
          <w:rtl/>
        </w:rPr>
      </w:pPr>
      <w:r>
        <w:rPr>
          <w:rFonts w:hint="cs"/>
          <w:rtl/>
        </w:rPr>
        <w:t>إن قصة إبراهيم نجدها في سفر التكوين من إصحاح 12: 1 حتى 25: 10. بالرغم من أننا يمكننا أن نستقي تعاليمًا عملية من حياة إبراهيم لأنفسنا، إلا أن الفكرة الأساسية هي نبوية. لهذا سوف نتتبع الخطوط العريضة التي يريها روح الله في حياة هذا الرجل.</w:t>
      </w:r>
    </w:p>
    <w:p w14:paraId="24DFBDB3" w14:textId="7199EA63" w:rsidR="00C212A5" w:rsidRDefault="00C212A5">
      <w:pPr>
        <w:rPr>
          <w:rtl/>
        </w:rPr>
      </w:pPr>
      <w:r>
        <w:rPr>
          <w:rFonts w:hint="cs"/>
          <w:rtl/>
        </w:rPr>
        <w:t>قصته فيها ثلاثة مقاطع والتي يمكننا تقسيمها من خلال عبارة "</w:t>
      </w:r>
      <w:r w:rsidRPr="00C212A5">
        <w:rPr>
          <w:rtl/>
        </w:rPr>
        <w:t xml:space="preserve"> بَعْدَ هذِهِ الأُمُورِ</w:t>
      </w:r>
      <w:r>
        <w:rPr>
          <w:rFonts w:hint="cs"/>
          <w:rtl/>
        </w:rPr>
        <w:t>". وكل واحد من هذه الأجزاء يعرض أمامنا نظرة خاصة وهو كامل في حد ذاته. وفي جميعها يكشف روح الله عن صورة نبوية تنتهي في المُلك الألفي.</w:t>
      </w:r>
    </w:p>
    <w:p w14:paraId="7F5AFDB1" w14:textId="673D69BB" w:rsidR="00C212A5" w:rsidRDefault="00C212A5">
      <w:pPr>
        <w:rPr>
          <w:rtl/>
        </w:rPr>
      </w:pPr>
      <w:r>
        <w:rPr>
          <w:rFonts w:hint="cs"/>
          <w:rtl/>
        </w:rPr>
        <w:t xml:space="preserve">الجزء 1: إصحاح 12 </w:t>
      </w:r>
      <w:r>
        <w:rPr>
          <w:rtl/>
        </w:rPr>
        <w:t>–</w:t>
      </w:r>
      <w:r>
        <w:rPr>
          <w:rFonts w:hint="cs"/>
          <w:rtl/>
        </w:rPr>
        <w:t xml:space="preserve"> 14 بركة إسرائيل</w:t>
      </w:r>
    </w:p>
    <w:p w14:paraId="4C32340B" w14:textId="386F3BF5" w:rsidR="00C212A5" w:rsidRDefault="00C212A5">
      <w:pPr>
        <w:rPr>
          <w:rtl/>
        </w:rPr>
      </w:pPr>
      <w:r>
        <w:rPr>
          <w:rFonts w:hint="cs"/>
          <w:rtl/>
        </w:rPr>
        <w:t xml:space="preserve">الجزء 2: إصحاح 15 </w:t>
      </w:r>
      <w:r>
        <w:rPr>
          <w:rtl/>
        </w:rPr>
        <w:t>–</w:t>
      </w:r>
      <w:r>
        <w:rPr>
          <w:rFonts w:hint="cs"/>
          <w:rtl/>
        </w:rPr>
        <w:t xml:space="preserve"> 21 منطقة إسرائيل السيادية</w:t>
      </w:r>
    </w:p>
    <w:p w14:paraId="7A5B09D0" w14:textId="30D6DC28" w:rsidR="00C212A5" w:rsidRDefault="00C212A5">
      <w:pPr>
        <w:rPr>
          <w:rtl/>
        </w:rPr>
      </w:pPr>
      <w:r>
        <w:rPr>
          <w:rFonts w:hint="cs"/>
          <w:rtl/>
        </w:rPr>
        <w:t xml:space="preserve">الجزء 3: إصحاح 22 </w:t>
      </w:r>
      <w:r>
        <w:rPr>
          <w:rtl/>
        </w:rPr>
        <w:t>–</w:t>
      </w:r>
      <w:r>
        <w:rPr>
          <w:rFonts w:hint="cs"/>
          <w:rtl/>
        </w:rPr>
        <w:t xml:space="preserve"> 25: 10 إثمار إسرائيل</w:t>
      </w:r>
    </w:p>
    <w:p w14:paraId="5AA39C5D" w14:textId="6ACC308A" w:rsidR="00C212A5" w:rsidRDefault="00C212A5">
      <w:pPr>
        <w:rPr>
          <w:rtl/>
        </w:rPr>
      </w:pPr>
      <w:r>
        <w:rPr>
          <w:rFonts w:hint="cs"/>
          <w:rtl/>
        </w:rPr>
        <w:t xml:space="preserve">بركة إسرائيل في المُلك الألفي (تكوين 12 </w:t>
      </w:r>
      <w:r>
        <w:rPr>
          <w:rtl/>
        </w:rPr>
        <w:t>–</w:t>
      </w:r>
      <w:r>
        <w:rPr>
          <w:rFonts w:hint="cs"/>
          <w:rtl/>
        </w:rPr>
        <w:t xml:space="preserve"> 14)</w:t>
      </w:r>
    </w:p>
    <w:p w14:paraId="5D64D829" w14:textId="08E3587E" w:rsidR="00C212A5" w:rsidRDefault="003B3C56">
      <w:pPr>
        <w:rPr>
          <w:rtl/>
        </w:rPr>
      </w:pPr>
      <w:r>
        <w:rPr>
          <w:rFonts w:hint="cs"/>
          <w:rtl/>
        </w:rPr>
        <w:t>"</w:t>
      </w:r>
      <w:r w:rsidRPr="003B3C56">
        <w:rPr>
          <w:rtl/>
        </w:rPr>
        <w:t xml:space="preserve"> وَأُبَارِكُ مُبَارِكِيكَ، وَلاَعِنَكَ أَلْعَنُهُ. وَتَتَبَارَكُ فِيكَ جَمِيعُ قَبَائِلِ الأَرْضِ</w:t>
      </w:r>
      <w:r>
        <w:rPr>
          <w:rFonts w:hint="cs"/>
          <w:rtl/>
        </w:rPr>
        <w:t>"(تكوين 12: 3).</w:t>
      </w:r>
    </w:p>
    <w:p w14:paraId="20B83B54" w14:textId="4CFDBB08" w:rsidR="003B3C56" w:rsidRDefault="003B3C56">
      <w:pPr>
        <w:rPr>
          <w:rtl/>
        </w:rPr>
      </w:pPr>
      <w:r>
        <w:rPr>
          <w:rFonts w:hint="cs"/>
          <w:rtl/>
        </w:rPr>
        <w:t>"</w:t>
      </w:r>
      <w:r w:rsidRPr="003B3C56">
        <w:rPr>
          <w:rtl/>
        </w:rPr>
        <w:t xml:space="preserve"> وَمَلْكِي صَادِقُ، مَلِكُ </w:t>
      </w:r>
      <w:proofErr w:type="spellStart"/>
      <w:r w:rsidRPr="003B3C56">
        <w:rPr>
          <w:rtl/>
        </w:rPr>
        <w:t>شَالِيمَ</w:t>
      </w:r>
      <w:proofErr w:type="spellEnd"/>
      <w:r w:rsidRPr="003B3C56">
        <w:rPr>
          <w:rtl/>
        </w:rPr>
        <w:t xml:space="preserve">، أَخْرَجَ خُبْزًا وَخَمْرًا. وَكَانَ كَاهِنًا ِللهِ الْعَلِيِّ.  </w:t>
      </w:r>
      <w:r w:rsidRPr="003B3C56">
        <w:rPr>
          <w:rFonts w:ascii="Times New Roman" w:hAnsi="Times New Roman" w:cs="Times New Roman" w:hint="cs"/>
          <w:rtl/>
        </w:rPr>
        <w:t>​</w:t>
      </w:r>
      <w:r w:rsidRPr="003B3C56">
        <w:rPr>
          <w:rtl/>
        </w:rPr>
        <w:t>19</w:t>
      </w:r>
      <w:r w:rsidRPr="003B3C56">
        <w:rPr>
          <w:rFonts w:ascii="Times New Roman" w:hAnsi="Times New Roman" w:cs="Times New Roman" w:hint="cs"/>
          <w:rtl/>
        </w:rPr>
        <w:t>​</w:t>
      </w:r>
      <w:r w:rsidRPr="003B3C56">
        <w:rPr>
          <w:rtl/>
        </w:rPr>
        <w:t xml:space="preserve"> </w:t>
      </w:r>
      <w:r w:rsidRPr="003B3C56">
        <w:rPr>
          <w:rFonts w:ascii="Times New Roman" w:hAnsi="Times New Roman" w:cs="Times New Roman" w:hint="cs"/>
          <w:rtl/>
        </w:rPr>
        <w:t>​</w:t>
      </w:r>
      <w:r w:rsidRPr="003B3C56">
        <w:rPr>
          <w:rFonts w:hint="cs"/>
          <w:rtl/>
        </w:rPr>
        <w:t>وَبَارَكَهُ</w:t>
      </w:r>
      <w:r w:rsidRPr="003B3C56">
        <w:rPr>
          <w:rtl/>
        </w:rPr>
        <w:t xml:space="preserve"> </w:t>
      </w:r>
      <w:r w:rsidRPr="003B3C56">
        <w:rPr>
          <w:rFonts w:hint="cs"/>
          <w:rtl/>
        </w:rPr>
        <w:t>وَقَالَ</w:t>
      </w:r>
      <w:r w:rsidRPr="003B3C56">
        <w:rPr>
          <w:rtl/>
        </w:rPr>
        <w:t xml:space="preserve">: </w:t>
      </w:r>
      <w:r w:rsidRPr="003B3C56">
        <w:rPr>
          <w:rFonts w:hint="cs"/>
          <w:rtl/>
        </w:rPr>
        <w:t>«مُبَارَكٌ</w:t>
      </w:r>
      <w:r w:rsidRPr="003B3C56">
        <w:rPr>
          <w:rtl/>
        </w:rPr>
        <w:t xml:space="preserve"> </w:t>
      </w:r>
      <w:r w:rsidRPr="003B3C56">
        <w:rPr>
          <w:rFonts w:hint="cs"/>
          <w:rtl/>
        </w:rPr>
        <w:t>أَبْرَام</w:t>
      </w:r>
      <w:r w:rsidRPr="003B3C56">
        <w:rPr>
          <w:rtl/>
        </w:rPr>
        <w:t>ُ مِنَ اللهِ الْعَلِيِّ مَالِكِ السَّمَاوَاتِ وَالأَرْضِ</w:t>
      </w:r>
      <w:r>
        <w:rPr>
          <w:rFonts w:hint="cs"/>
          <w:rtl/>
        </w:rPr>
        <w:t>"(تكوين 14: 18، 19).</w:t>
      </w:r>
    </w:p>
    <w:p w14:paraId="4F97C877" w14:textId="0663C1A7" w:rsidR="003B3C56" w:rsidRDefault="003B3C56">
      <w:pPr>
        <w:rPr>
          <w:rtl/>
        </w:rPr>
      </w:pPr>
      <w:r>
        <w:rPr>
          <w:rFonts w:hint="cs"/>
          <w:rtl/>
        </w:rPr>
        <w:t xml:space="preserve">من دون أن يطالبه بشيء قال الله </w:t>
      </w:r>
      <w:proofErr w:type="spellStart"/>
      <w:r>
        <w:rPr>
          <w:rFonts w:hint="cs"/>
          <w:rtl/>
        </w:rPr>
        <w:t>لابراهيم</w:t>
      </w:r>
      <w:proofErr w:type="spellEnd"/>
      <w:r>
        <w:rPr>
          <w:rFonts w:hint="cs"/>
          <w:rtl/>
        </w:rPr>
        <w:t xml:space="preserve"> في إصحاح 12: "</w:t>
      </w:r>
      <w:r w:rsidRPr="003B3C56">
        <w:rPr>
          <w:rtl/>
        </w:rPr>
        <w:t xml:space="preserve"> وَأُبَارِكَكَ</w:t>
      </w:r>
      <w:r>
        <w:rPr>
          <w:rFonts w:hint="cs"/>
          <w:rtl/>
        </w:rPr>
        <w:t>" وبنو إسرائيل، نسل إبراهيم سينال هذه البركة على أساس وعد الله الغير مشروط. في إصحاح 14 نفهم بأن هذه البركة تأتي بواسطة ملكي صادق الحقيقي، أي بالمسيح. ملكي صادق أحضر معه لإبراهيم خبزًا وخمرًا. هذه هي البركة التي ستكون في المُلك الألفي. يسوع المسيح سيُعطي شعبه الأرضي طعامًا روحيًا (خبزًا). ولكن هذا الشعب سيتمتع بفرح (خمر) حقيقي</w:t>
      </w:r>
      <w:r w:rsidRPr="003B3C56">
        <w:rPr>
          <w:rtl/>
        </w:rPr>
        <w:t xml:space="preserve"> أيضًا</w:t>
      </w:r>
      <w:r>
        <w:rPr>
          <w:rFonts w:hint="cs"/>
          <w:rtl/>
        </w:rPr>
        <w:t>. إن المقطع الأول في حياة إبراهيم يتكلم إذًا عن بركة الله التي وعد بها لشعب إسرائيل والتي سيسكبها بمجيء الرب يسوع في المجد.</w:t>
      </w:r>
    </w:p>
    <w:p w14:paraId="689B54A7" w14:textId="7CE1F188" w:rsidR="003F2AF0" w:rsidRDefault="003F2AF0">
      <w:pPr>
        <w:rPr>
          <w:rtl/>
        </w:rPr>
      </w:pPr>
      <w:r>
        <w:rPr>
          <w:rFonts w:hint="cs"/>
          <w:rtl/>
        </w:rPr>
        <w:t xml:space="preserve">منطقة إسرائيل السيادية في المُلك الألفي (تكوين 15 </w:t>
      </w:r>
      <w:r>
        <w:rPr>
          <w:rtl/>
        </w:rPr>
        <w:t>–</w:t>
      </w:r>
      <w:r>
        <w:rPr>
          <w:rFonts w:hint="cs"/>
          <w:rtl/>
        </w:rPr>
        <w:t xml:space="preserve"> 21)</w:t>
      </w:r>
    </w:p>
    <w:p w14:paraId="1D517D9D" w14:textId="7DDF711F" w:rsidR="003F2AF0" w:rsidRDefault="003F2AF0">
      <w:pPr>
        <w:rPr>
          <w:rtl/>
        </w:rPr>
      </w:pPr>
      <w:r>
        <w:rPr>
          <w:rFonts w:hint="cs"/>
          <w:rtl/>
        </w:rPr>
        <w:t>"</w:t>
      </w:r>
      <w:r w:rsidRPr="003F2AF0">
        <w:rPr>
          <w:rtl/>
        </w:rPr>
        <w:t xml:space="preserve"> </w:t>
      </w:r>
      <w:r w:rsidR="008D421C">
        <w:rPr>
          <w:rFonts w:hint="cs"/>
          <w:rtl/>
        </w:rPr>
        <w:t>ف</w:t>
      </w:r>
      <w:r w:rsidRPr="003F2AF0">
        <w:rPr>
          <w:rtl/>
        </w:rPr>
        <w:t xml:space="preserve">ي ذلِكَ الْيَوْمِ قَطَعَ الرَّبُّ مَعَ أَبْرَامَ مِيثَاقًا قَائِلاً: «لِنَسْلِكَ أُعْطِي هذِهِ الأَرْضَ، مِنْ نَهْرِ مِصْرَ إِلَى النَّهْرِ الْكَبِيرِ، نَهْرِ الْفُرَاتِ. </w:t>
      </w:r>
      <w:r>
        <w:rPr>
          <w:rFonts w:hint="cs"/>
          <w:rtl/>
        </w:rPr>
        <w:t>"(تكوين 15: 18)</w:t>
      </w:r>
    </w:p>
    <w:p w14:paraId="1611C797" w14:textId="3AA6B913" w:rsidR="003F2AF0" w:rsidRDefault="003F2AF0">
      <w:pPr>
        <w:rPr>
          <w:rtl/>
        </w:rPr>
      </w:pPr>
      <w:r>
        <w:rPr>
          <w:rFonts w:hint="cs"/>
          <w:rtl/>
        </w:rPr>
        <w:t>"</w:t>
      </w:r>
      <w:r w:rsidRPr="003F2AF0">
        <w:rPr>
          <w:rtl/>
        </w:rPr>
        <w:t xml:space="preserve"> </w:t>
      </w:r>
      <w:r w:rsidRPr="003F2AF0">
        <w:rPr>
          <w:rFonts w:ascii="Times New Roman" w:hAnsi="Times New Roman" w:cs="Times New Roman" w:hint="cs"/>
          <w:rtl/>
        </w:rPr>
        <w:t>​</w:t>
      </w:r>
      <w:r w:rsidRPr="003F2AF0">
        <w:rPr>
          <w:rFonts w:hint="cs"/>
          <w:rtl/>
        </w:rPr>
        <w:t>وَغَرَسَ</w:t>
      </w:r>
      <w:r w:rsidRPr="003F2AF0">
        <w:rPr>
          <w:rtl/>
        </w:rPr>
        <w:t xml:space="preserve"> </w:t>
      </w:r>
      <w:r w:rsidRPr="003F2AF0">
        <w:rPr>
          <w:rFonts w:hint="cs"/>
          <w:rtl/>
        </w:rPr>
        <w:t>إِبْرَاهِيمُ</w:t>
      </w:r>
      <w:r w:rsidRPr="003F2AF0">
        <w:rPr>
          <w:rtl/>
        </w:rPr>
        <w:t xml:space="preserve"> </w:t>
      </w:r>
      <w:r w:rsidRPr="003F2AF0">
        <w:rPr>
          <w:rFonts w:hint="cs"/>
          <w:rtl/>
        </w:rPr>
        <w:t>أَثْلاً</w:t>
      </w:r>
      <w:r w:rsidRPr="003F2AF0">
        <w:rPr>
          <w:rtl/>
        </w:rPr>
        <w:t xml:space="preserve"> </w:t>
      </w:r>
      <w:r w:rsidRPr="003F2AF0">
        <w:rPr>
          <w:rFonts w:hint="cs"/>
          <w:rtl/>
        </w:rPr>
        <w:t>فِي</w:t>
      </w:r>
      <w:r w:rsidRPr="003F2AF0">
        <w:rPr>
          <w:rtl/>
        </w:rPr>
        <w:t xml:space="preserve"> </w:t>
      </w:r>
      <w:r w:rsidRPr="003F2AF0">
        <w:rPr>
          <w:rFonts w:hint="cs"/>
          <w:rtl/>
        </w:rPr>
        <w:t>بِئْرِ</w:t>
      </w:r>
      <w:r w:rsidRPr="003F2AF0">
        <w:rPr>
          <w:rtl/>
        </w:rPr>
        <w:t xml:space="preserve"> </w:t>
      </w:r>
      <w:r w:rsidRPr="003F2AF0">
        <w:rPr>
          <w:rFonts w:hint="cs"/>
          <w:rtl/>
        </w:rPr>
        <w:t>سَبْعٍ،</w:t>
      </w:r>
      <w:r w:rsidRPr="003F2AF0">
        <w:rPr>
          <w:rtl/>
        </w:rPr>
        <w:t xml:space="preserve"> </w:t>
      </w:r>
      <w:r w:rsidRPr="003F2AF0">
        <w:rPr>
          <w:rFonts w:hint="cs"/>
          <w:rtl/>
        </w:rPr>
        <w:t>وَدَعَا</w:t>
      </w:r>
      <w:r w:rsidRPr="003F2AF0">
        <w:rPr>
          <w:rtl/>
        </w:rPr>
        <w:t xml:space="preserve"> </w:t>
      </w:r>
      <w:r w:rsidRPr="003F2AF0">
        <w:rPr>
          <w:rFonts w:hint="cs"/>
          <w:rtl/>
        </w:rPr>
        <w:t>هُنَاكَ</w:t>
      </w:r>
      <w:r w:rsidRPr="003F2AF0">
        <w:rPr>
          <w:rtl/>
        </w:rPr>
        <w:t xml:space="preserve"> </w:t>
      </w:r>
      <w:r w:rsidRPr="003F2AF0">
        <w:rPr>
          <w:rFonts w:hint="cs"/>
          <w:rtl/>
        </w:rPr>
        <w:t>بِاسْمِ</w:t>
      </w:r>
      <w:r w:rsidRPr="003F2AF0">
        <w:rPr>
          <w:rtl/>
        </w:rPr>
        <w:t xml:space="preserve"> </w:t>
      </w:r>
      <w:r w:rsidRPr="003F2AF0">
        <w:rPr>
          <w:rFonts w:hint="cs"/>
          <w:rtl/>
        </w:rPr>
        <w:t>الرَّبِّ</w:t>
      </w:r>
      <w:r w:rsidRPr="003F2AF0">
        <w:rPr>
          <w:rtl/>
        </w:rPr>
        <w:t xml:space="preserve"> </w:t>
      </w:r>
      <w:r w:rsidRPr="003F2AF0">
        <w:rPr>
          <w:rFonts w:hint="cs"/>
          <w:rtl/>
        </w:rPr>
        <w:t>الإِلهِ</w:t>
      </w:r>
      <w:r w:rsidRPr="003F2AF0">
        <w:rPr>
          <w:rtl/>
        </w:rPr>
        <w:t xml:space="preserve"> </w:t>
      </w:r>
      <w:r w:rsidRPr="003F2AF0">
        <w:rPr>
          <w:rFonts w:hint="cs"/>
          <w:rtl/>
        </w:rPr>
        <w:t>السَّرْمَدِيِّ</w:t>
      </w:r>
      <w:r w:rsidRPr="003F2AF0">
        <w:rPr>
          <w:rtl/>
        </w:rPr>
        <w:t>.</w:t>
      </w:r>
      <w:r w:rsidRPr="003F2AF0">
        <w:rPr>
          <w:rFonts w:hint="cs"/>
          <w:rtl/>
        </w:rPr>
        <w:t xml:space="preserve"> </w:t>
      </w:r>
      <w:r>
        <w:rPr>
          <w:rFonts w:hint="cs"/>
          <w:rtl/>
        </w:rPr>
        <w:t>"(تكوين 21: 33)</w:t>
      </w:r>
    </w:p>
    <w:p w14:paraId="6CBCED1A" w14:textId="22C94457" w:rsidR="003F2AF0" w:rsidRDefault="003F2AF0">
      <w:pPr>
        <w:rPr>
          <w:rtl/>
        </w:rPr>
      </w:pPr>
      <w:r>
        <w:rPr>
          <w:rFonts w:hint="cs"/>
          <w:rtl/>
        </w:rPr>
        <w:t xml:space="preserve">في إصحاح 15: 18 وعد الله الرحالة إبراهيم بأنه سيمتلك هو ونسله الأرض إلى كل </w:t>
      </w:r>
      <w:proofErr w:type="spellStart"/>
      <w:r>
        <w:rPr>
          <w:rFonts w:hint="cs"/>
          <w:rtl/>
        </w:rPr>
        <w:t>أقاصيها</w:t>
      </w:r>
      <w:proofErr w:type="spellEnd"/>
      <w:r>
        <w:rPr>
          <w:rFonts w:hint="cs"/>
          <w:rtl/>
        </w:rPr>
        <w:t xml:space="preserve"> من نهر مصر إلى الفرات. في نهاية إصحاح 21 حدث شيء خاص: إبراهيم غرس شجرة، وكل فلاح يعرف ما يعنيه ذلك. عندما يزرع مزارع شجرة في الأرض فإنه يعني بذلك: "هذه الأرض ملكي" وبهذا العمل تملّك إبراهيم أرض الموعد رمزيًا. إنه أيضًا شعب إسرائيل سيتملك في المُلك الألفي الأرض في كل حدودها. الله سيهبها لشعبه المحبوب.</w:t>
      </w:r>
    </w:p>
    <w:p w14:paraId="68982576" w14:textId="123C05EB" w:rsidR="003F2AF0" w:rsidRDefault="003F2AF0">
      <w:pPr>
        <w:rPr>
          <w:rtl/>
        </w:rPr>
      </w:pPr>
      <w:r>
        <w:rPr>
          <w:rFonts w:hint="cs"/>
          <w:rtl/>
        </w:rPr>
        <w:lastRenderedPageBreak/>
        <w:t xml:space="preserve">إن أساس امتلاك الأرض هو العهد الذي صنعه الله مع إبراهيم. إن تتبعنا الخط العريض في المقطع الثاني، سنرى أولاً قصة هاجر وإسماعيل وبالإضافة إليها قصة سارة واسحق. في رسالة غلاطية نحن نتعلم، </w:t>
      </w:r>
      <w:r w:rsidR="005E749F">
        <w:rPr>
          <w:rFonts w:hint="cs"/>
          <w:rtl/>
        </w:rPr>
        <w:t>بأن هذا يُشير إلى عهدين: هاجر وإسماعيل يتكلمان عن عهد سيناء، بينما سارة واسحق فيُشيران إلى العهد الجديد. إن عهد سيناء يحتوي على شروط كان ينبغي على الشعب أن يتممها لكي يحصل على البركة. غير أن بنو إسرائيل لم يستطيعوا حفظ هذه الشروط. أما العهد الجديد بالمقابل فهو مؤسس على دم الرب يسوع المسفوك. هو تمم على الصليب كل مطاليب عدل الله. لذا فإنه من المؤكد بصورة مطلقة بأن الله سيُعطي شعب إسرائيل في المعاهدة الجديدة أرض الموعد. إسرائيل لن تتملك الأرض في المُلك الألفي بسبب جيشه القوي، وإنما على أساس عمل الرب يسوع الفدائي. هذا هو التعليم الأساسي في المقطع الثاني.</w:t>
      </w:r>
    </w:p>
    <w:p w14:paraId="76D42676" w14:textId="2CE68492" w:rsidR="005E749F" w:rsidRDefault="005E749F">
      <w:pPr>
        <w:rPr>
          <w:rtl/>
        </w:rPr>
      </w:pPr>
      <w:r>
        <w:rPr>
          <w:rFonts w:hint="cs"/>
          <w:rtl/>
        </w:rPr>
        <w:t xml:space="preserve">إثمار إسرائيل في المُلك </w:t>
      </w:r>
      <w:hyperlink r:id="rId4" w:anchor=":~:text=%C2%ABIch%20werde%20deine%20Nachkommen%20sehr%20mehren" w:history="1">
        <w:r w:rsidRPr="00DE2102">
          <w:rPr>
            <w:rStyle w:val="Hyperlink"/>
            <w:rFonts w:hint="cs"/>
            <w:rtl/>
          </w:rPr>
          <w:t>الأل</w:t>
        </w:r>
        <w:r w:rsidRPr="00DE2102">
          <w:rPr>
            <w:rStyle w:val="Hyperlink"/>
            <w:rFonts w:hint="cs"/>
            <w:rtl/>
          </w:rPr>
          <w:t>ف</w:t>
        </w:r>
        <w:r w:rsidRPr="00DE2102">
          <w:rPr>
            <w:rStyle w:val="Hyperlink"/>
            <w:rFonts w:hint="cs"/>
            <w:rtl/>
          </w:rPr>
          <w:t>ي</w:t>
        </w:r>
      </w:hyperlink>
      <w:r>
        <w:rPr>
          <w:rFonts w:hint="cs"/>
          <w:rtl/>
        </w:rPr>
        <w:t xml:space="preserve"> (تكوين 22 </w:t>
      </w:r>
      <w:r>
        <w:rPr>
          <w:rtl/>
        </w:rPr>
        <w:t>–</w:t>
      </w:r>
      <w:r>
        <w:rPr>
          <w:rFonts w:hint="cs"/>
          <w:rtl/>
        </w:rPr>
        <w:t xml:space="preserve"> 25: 10)</w:t>
      </w:r>
    </w:p>
    <w:p w14:paraId="57BD375A" w14:textId="1F7A4231" w:rsidR="005E749F" w:rsidRDefault="003D02BF">
      <w:pPr>
        <w:rPr>
          <w:rtl/>
        </w:rPr>
      </w:pPr>
      <w:r>
        <w:rPr>
          <w:rFonts w:hint="cs"/>
          <w:rtl/>
        </w:rPr>
        <w:t>"</w:t>
      </w:r>
      <w:r w:rsidRPr="003D02BF">
        <w:rPr>
          <w:rFonts w:ascii="Arial" w:hAnsi="Arial" w:cs="Arial" w:hint="cs"/>
          <w:rtl/>
        </w:rPr>
        <w:t>​</w:t>
      </w:r>
      <w:r w:rsidRPr="003D02BF">
        <w:rPr>
          <w:rFonts w:hint="cs"/>
          <w:rtl/>
        </w:rPr>
        <w:t>أُبَارِكُكَ</w:t>
      </w:r>
      <w:r w:rsidRPr="003D02BF">
        <w:rPr>
          <w:rtl/>
        </w:rPr>
        <w:t xml:space="preserve"> </w:t>
      </w:r>
      <w:r w:rsidRPr="003D02BF">
        <w:rPr>
          <w:rFonts w:hint="cs"/>
          <w:rtl/>
        </w:rPr>
        <w:t>مُبَارَكَةً،</w:t>
      </w:r>
      <w:r w:rsidRPr="003D02BF">
        <w:rPr>
          <w:rtl/>
        </w:rPr>
        <w:t xml:space="preserve"> </w:t>
      </w:r>
      <w:r w:rsidRPr="003D02BF">
        <w:rPr>
          <w:rFonts w:hint="cs"/>
          <w:rtl/>
        </w:rPr>
        <w:t>وَأُكَثِّرُ</w:t>
      </w:r>
      <w:r w:rsidRPr="003D02BF">
        <w:rPr>
          <w:rtl/>
        </w:rPr>
        <w:t xml:space="preserve"> </w:t>
      </w:r>
      <w:r w:rsidRPr="003D02BF">
        <w:rPr>
          <w:rFonts w:hint="cs"/>
          <w:rtl/>
        </w:rPr>
        <w:t>نَسْلَكَ</w:t>
      </w:r>
      <w:r w:rsidRPr="003D02BF">
        <w:rPr>
          <w:rtl/>
        </w:rPr>
        <w:t xml:space="preserve"> </w:t>
      </w:r>
      <w:r w:rsidRPr="003D02BF">
        <w:rPr>
          <w:rFonts w:hint="cs"/>
          <w:rtl/>
        </w:rPr>
        <w:t>تَكْثِيرًا</w:t>
      </w:r>
      <w:r w:rsidRPr="003D02BF">
        <w:rPr>
          <w:rtl/>
        </w:rPr>
        <w:t xml:space="preserve"> </w:t>
      </w:r>
      <w:r w:rsidRPr="003D02BF">
        <w:rPr>
          <w:rFonts w:hint="cs"/>
          <w:rtl/>
        </w:rPr>
        <w:t>كَنُجُومِ</w:t>
      </w:r>
      <w:r w:rsidRPr="003D02BF">
        <w:rPr>
          <w:rtl/>
        </w:rPr>
        <w:t xml:space="preserve"> </w:t>
      </w:r>
      <w:r w:rsidRPr="003D02BF">
        <w:rPr>
          <w:rFonts w:hint="cs"/>
          <w:rtl/>
        </w:rPr>
        <w:t>السَّمَاءِ</w:t>
      </w:r>
      <w:r w:rsidRPr="003D02BF">
        <w:rPr>
          <w:rtl/>
        </w:rPr>
        <w:t xml:space="preserve"> </w:t>
      </w:r>
      <w:r w:rsidRPr="003D02BF">
        <w:rPr>
          <w:rFonts w:hint="cs"/>
          <w:rtl/>
        </w:rPr>
        <w:t>وَكَالرَّمْلِ</w:t>
      </w:r>
      <w:r w:rsidRPr="003D02BF">
        <w:rPr>
          <w:rtl/>
        </w:rPr>
        <w:t xml:space="preserve"> </w:t>
      </w:r>
      <w:r w:rsidRPr="003D02BF">
        <w:rPr>
          <w:rFonts w:hint="cs"/>
          <w:rtl/>
        </w:rPr>
        <w:t>الَّذِي</w:t>
      </w:r>
      <w:r w:rsidRPr="003D02BF">
        <w:rPr>
          <w:rtl/>
        </w:rPr>
        <w:t xml:space="preserve"> </w:t>
      </w:r>
      <w:r w:rsidRPr="003D02BF">
        <w:rPr>
          <w:rFonts w:hint="cs"/>
          <w:rtl/>
        </w:rPr>
        <w:t>عَلَى</w:t>
      </w:r>
      <w:r w:rsidRPr="003D02BF">
        <w:rPr>
          <w:rtl/>
        </w:rPr>
        <w:t xml:space="preserve"> </w:t>
      </w:r>
      <w:r w:rsidRPr="003D02BF">
        <w:rPr>
          <w:rFonts w:hint="cs"/>
          <w:rtl/>
        </w:rPr>
        <w:t>شَاطِئِ</w:t>
      </w:r>
      <w:r w:rsidRPr="003D02BF">
        <w:rPr>
          <w:rtl/>
        </w:rPr>
        <w:t xml:space="preserve"> </w:t>
      </w:r>
      <w:r w:rsidRPr="003D02BF">
        <w:rPr>
          <w:rFonts w:hint="cs"/>
          <w:rtl/>
        </w:rPr>
        <w:t>الْبَحْرِ</w:t>
      </w:r>
      <w:r>
        <w:rPr>
          <w:rFonts w:hint="cs"/>
          <w:rtl/>
        </w:rPr>
        <w:t>" (تكوين 22: 17).</w:t>
      </w:r>
    </w:p>
    <w:p w14:paraId="24D2CE48" w14:textId="2357BB33" w:rsidR="003D02BF" w:rsidRDefault="003D02BF">
      <w:pPr>
        <w:rPr>
          <w:rtl/>
        </w:rPr>
      </w:pPr>
      <w:r>
        <w:rPr>
          <w:rFonts w:hint="cs"/>
          <w:rtl/>
        </w:rPr>
        <w:t>المقطع الثالث هو الأكثر مثير للانتباه. هنا الفكرة الأساسية من جهة الإثمار في المُلك الألفي. الله سيكثر من نسل إبراهيم "</w:t>
      </w:r>
      <w:r w:rsidRPr="003D02BF">
        <w:rPr>
          <w:rtl/>
        </w:rPr>
        <w:t xml:space="preserve"> </w:t>
      </w:r>
      <w:r w:rsidRPr="003D02BF">
        <w:rPr>
          <w:rtl/>
        </w:rPr>
        <w:t>كَنُجُومِ السَّمَاءِ وَكَالرَّمْلِ الَّذِي عَلَى شَاطِئِ الْبَحْرِ</w:t>
      </w:r>
      <w:r>
        <w:rPr>
          <w:rFonts w:hint="cs"/>
          <w:rtl/>
        </w:rPr>
        <w:t>". نجوم السماء تتكلم عن ثمر له طابع سماوي الممثل في رفقة. و</w:t>
      </w:r>
      <w:r w:rsidRPr="003D02BF">
        <w:rPr>
          <w:rtl/>
        </w:rPr>
        <w:t>َالرَّمْلِ الَّذِي عَلَى شَاطِئِ الْبَحْرِ</w:t>
      </w:r>
      <w:r>
        <w:rPr>
          <w:rFonts w:hint="cs"/>
          <w:rtl/>
        </w:rPr>
        <w:t xml:space="preserve"> عن ثمر له طابع أرضي، ممثل في </w:t>
      </w:r>
      <w:proofErr w:type="spellStart"/>
      <w:r>
        <w:rPr>
          <w:rFonts w:hint="cs"/>
          <w:rtl/>
        </w:rPr>
        <w:t>قطورة</w:t>
      </w:r>
      <w:proofErr w:type="spellEnd"/>
      <w:r>
        <w:rPr>
          <w:rFonts w:hint="cs"/>
          <w:rtl/>
        </w:rPr>
        <w:t xml:space="preserve">، التي ولدت </w:t>
      </w:r>
      <w:proofErr w:type="spellStart"/>
      <w:r>
        <w:rPr>
          <w:rFonts w:hint="cs"/>
          <w:rtl/>
        </w:rPr>
        <w:t>لابراهيم</w:t>
      </w:r>
      <w:proofErr w:type="spellEnd"/>
      <w:r>
        <w:rPr>
          <w:rFonts w:hint="cs"/>
          <w:rtl/>
        </w:rPr>
        <w:t xml:space="preserve"> أبناءً كثيرين.</w:t>
      </w:r>
    </w:p>
    <w:p w14:paraId="4120ADBA" w14:textId="682C14BE" w:rsidR="00B80DE7" w:rsidRDefault="00B80DE7">
      <w:pPr>
        <w:rPr>
          <w:rtl/>
        </w:rPr>
      </w:pPr>
      <w:r>
        <w:rPr>
          <w:rFonts w:hint="cs"/>
          <w:rtl/>
        </w:rPr>
        <w:t xml:space="preserve">إن هذا المقطع الأخير مليء بالصور النبوية، والتي لها صلة مباشرة بنا أيضًا. لذا فإننا سنتأمله بأكثر تفصيل. في هذه </w:t>
      </w:r>
      <w:proofErr w:type="spellStart"/>
      <w:r>
        <w:rPr>
          <w:rFonts w:hint="cs"/>
          <w:rtl/>
        </w:rPr>
        <w:t>الإصحاحات</w:t>
      </w:r>
      <w:proofErr w:type="spellEnd"/>
      <w:r>
        <w:rPr>
          <w:rFonts w:hint="cs"/>
          <w:rtl/>
        </w:rPr>
        <w:t xml:space="preserve"> تُعرَض لنا ستة وقائع</w:t>
      </w:r>
      <w:r w:rsidR="00383D21">
        <w:rPr>
          <w:rFonts w:hint="cs"/>
          <w:rtl/>
        </w:rPr>
        <w:t>:</w:t>
      </w:r>
    </w:p>
    <w:p w14:paraId="5FFE0873" w14:textId="3226BC53" w:rsidR="00383D21" w:rsidRDefault="00383D21">
      <w:pPr>
        <w:rPr>
          <w:rtl/>
        </w:rPr>
      </w:pPr>
      <w:r>
        <w:rPr>
          <w:rFonts w:hint="cs"/>
          <w:rtl/>
        </w:rPr>
        <w:t>* عمل فداء الرب يسوع</w:t>
      </w:r>
    </w:p>
    <w:p w14:paraId="6FC1B636" w14:textId="260422B6" w:rsidR="00383D21" w:rsidRDefault="00383D21">
      <w:pPr>
        <w:rPr>
          <w:rtl/>
        </w:rPr>
      </w:pPr>
      <w:r>
        <w:rPr>
          <w:rFonts w:hint="cs"/>
          <w:rtl/>
        </w:rPr>
        <w:t>* إقامة الرب يسوع</w:t>
      </w:r>
    </w:p>
    <w:p w14:paraId="30C6088A" w14:textId="6840A60C" w:rsidR="00383D21" w:rsidRDefault="00383D21">
      <w:pPr>
        <w:rPr>
          <w:rtl/>
        </w:rPr>
      </w:pPr>
      <w:r>
        <w:rPr>
          <w:rFonts w:hint="cs"/>
          <w:rtl/>
        </w:rPr>
        <w:t>* ساعة مولد الكنيسة</w:t>
      </w:r>
    </w:p>
    <w:p w14:paraId="10997DCF" w14:textId="3AB67D00" w:rsidR="00383D21" w:rsidRDefault="00383D21">
      <w:pPr>
        <w:rPr>
          <w:rtl/>
        </w:rPr>
      </w:pPr>
      <w:r>
        <w:rPr>
          <w:rFonts w:hint="cs"/>
          <w:rtl/>
        </w:rPr>
        <w:t>* شعب إسرائيل مرفوض من الله</w:t>
      </w:r>
    </w:p>
    <w:p w14:paraId="6C295496" w14:textId="1DF0D63D" w:rsidR="00383D21" w:rsidRDefault="00383D21">
      <w:pPr>
        <w:rPr>
          <w:rtl/>
        </w:rPr>
      </w:pPr>
      <w:r>
        <w:rPr>
          <w:rFonts w:hint="cs"/>
          <w:rtl/>
        </w:rPr>
        <w:t>* مكانة الكنيسة وعلاقتها</w:t>
      </w:r>
    </w:p>
    <w:p w14:paraId="2AACB909" w14:textId="30BEB4FE" w:rsidR="00383D21" w:rsidRDefault="00383D21">
      <w:r>
        <w:rPr>
          <w:rFonts w:hint="cs"/>
          <w:rtl/>
        </w:rPr>
        <w:t xml:space="preserve">* الثمر العتيد لله على </w:t>
      </w:r>
      <w:hyperlink r:id="rId5" w:anchor=":~:text=a)-,Das%20Erl%C3%B6sungswerk%20des%20Herrn%20Jesus,-%C2%ABGott%20sprach%3A%20Nimm" w:history="1">
        <w:r w:rsidRPr="00383D21">
          <w:rPr>
            <w:rStyle w:val="Hyperlink"/>
            <w:rFonts w:hint="cs"/>
            <w:rtl/>
          </w:rPr>
          <w:t>الأرض</w:t>
        </w:r>
      </w:hyperlink>
    </w:p>
    <w:sectPr w:rsidR="00383D21"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10"/>
    <w:rsid w:val="00240B10"/>
    <w:rsid w:val="00383D21"/>
    <w:rsid w:val="003B3C56"/>
    <w:rsid w:val="003D02BF"/>
    <w:rsid w:val="003F2AF0"/>
    <w:rsid w:val="005E749F"/>
    <w:rsid w:val="008D421C"/>
    <w:rsid w:val="00B80DE7"/>
    <w:rsid w:val="00BE011D"/>
    <w:rsid w:val="00C212A5"/>
    <w:rsid w:val="00C6505E"/>
    <w:rsid w:val="00DE2102"/>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22EF"/>
  <w15:chartTrackingRefBased/>
  <w15:docId w15:val="{6DA4DA47-649D-49FE-9061-639709CC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0B10"/>
    <w:rPr>
      <w:color w:val="0563C1" w:themeColor="hyperlink"/>
      <w:u w:val="single"/>
    </w:rPr>
  </w:style>
  <w:style w:type="character" w:styleId="UnresolvedMention">
    <w:name w:val="Unresolved Mention"/>
    <w:basedOn w:val="DefaultParagraphFont"/>
    <w:uiPriority w:val="99"/>
    <w:semiHidden/>
    <w:unhideWhenUsed/>
    <w:rsid w:val="00240B10"/>
    <w:rPr>
      <w:color w:val="605E5C"/>
      <w:shd w:val="clear" w:color="auto" w:fill="E1DFDD"/>
    </w:rPr>
  </w:style>
  <w:style w:type="character" w:styleId="FollowedHyperlink">
    <w:name w:val="FollowedHyperlink"/>
    <w:basedOn w:val="DefaultParagraphFont"/>
    <w:uiPriority w:val="99"/>
    <w:semiHidden/>
    <w:unhideWhenUsed/>
    <w:rsid w:val="008D42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ltefest.ch/de/1761-das-leben-von-abraham-aus-prophetischer-sicht" TargetMode="External"/><Relationship Id="rId4" Type="http://schemas.openxmlformats.org/officeDocument/2006/relationships/hyperlink" Target="https://haltefest.ch/de/1761-das-leben-von-abraham-aus-prophetischer-sic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6</cp:revision>
  <dcterms:created xsi:type="dcterms:W3CDTF">2023-04-16T22:19:00Z</dcterms:created>
  <dcterms:modified xsi:type="dcterms:W3CDTF">2023-04-17T12:14:00Z</dcterms:modified>
</cp:coreProperties>
</file>