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6FE2" w:rsidRDefault="00000000">
      <w:pPr>
        <w:rPr>
          <w:rtl/>
          <w:lang w:bidi="ar-SA"/>
        </w:rPr>
      </w:pPr>
      <w:hyperlink r:id="rId7" w:history="1">
        <w:r w:rsidR="00370E69" w:rsidRPr="00370E69">
          <w:rPr>
            <w:rStyle w:val="Hyperlink"/>
            <w:rFonts w:hint="cs"/>
            <w:rtl/>
            <w:lang w:bidi="ar-SA"/>
          </w:rPr>
          <w:t>التكريس المسيحي</w:t>
        </w:r>
      </w:hyperlink>
    </w:p>
    <w:p w:rsidR="00370E69" w:rsidRDefault="00370E69">
      <w:pPr>
        <w:rPr>
          <w:rtl/>
          <w:lang w:bidi="ar-SA"/>
        </w:rPr>
      </w:pPr>
      <w:r>
        <w:rPr>
          <w:rFonts w:hint="cs"/>
          <w:rtl/>
          <w:lang w:bidi="ar-SA"/>
        </w:rPr>
        <w:t>كيف نهب حياتنا للرب يسوع بكاملها</w:t>
      </w:r>
    </w:p>
    <w:p w:rsidR="00370E69" w:rsidRDefault="00370E69" w:rsidP="00370E69">
      <w:pPr>
        <w:bidi w:val="0"/>
        <w:rPr>
          <w:lang w:bidi="ar-SA"/>
        </w:rPr>
      </w:pPr>
      <w:r w:rsidRPr="00370E69">
        <w:rPr>
          <w:lang w:bidi="ar-SA"/>
        </w:rPr>
        <w:t>Stanley Bruce Anstey</w:t>
      </w:r>
    </w:p>
    <w:p w:rsidR="00370E69" w:rsidRDefault="00C0663A">
      <w:pPr>
        <w:rPr>
          <w:rtl/>
          <w:lang w:bidi="ar-SA"/>
        </w:rPr>
      </w:pPr>
      <w:r>
        <w:rPr>
          <w:rFonts w:hint="cs"/>
          <w:rtl/>
          <w:lang w:bidi="ar-SA"/>
        </w:rPr>
        <w:t xml:space="preserve">آيات تمهيدية: رومية 12: 1 </w:t>
      </w:r>
      <w:r>
        <w:rPr>
          <w:rtl/>
          <w:lang w:bidi="ar-SA"/>
        </w:rPr>
        <w:t>–</w:t>
      </w:r>
      <w:r>
        <w:rPr>
          <w:rFonts w:hint="cs"/>
          <w:rtl/>
          <w:lang w:bidi="ar-SA"/>
        </w:rPr>
        <w:t xml:space="preserve"> 8</w:t>
      </w:r>
    </w:p>
    <w:p w:rsidR="005C13B6" w:rsidRDefault="00C0663A" w:rsidP="005C13B6">
      <w:pPr>
        <w:rPr>
          <w:rtl/>
          <w:lang w:bidi="ar-SA"/>
        </w:rPr>
      </w:pPr>
      <w:r>
        <w:rPr>
          <w:rFonts w:hint="cs"/>
          <w:rtl/>
          <w:lang w:bidi="ar-SA"/>
        </w:rPr>
        <w:t>أود في ظهيرة هذا اليوم أن أتكلم عن ما الذي يعنيه بأن ن</w:t>
      </w:r>
      <w:r w:rsidR="005C13B6">
        <w:rPr>
          <w:rFonts w:hint="cs"/>
          <w:rtl/>
          <w:lang w:bidi="ar-SA"/>
        </w:rPr>
        <w:t>هب حياتنا للمسيح</w:t>
      </w:r>
      <w:r w:rsidR="005C13B6">
        <w:rPr>
          <w:rStyle w:val="FootnoteReference"/>
          <w:rtl/>
          <w:lang w:bidi="ar-SA"/>
        </w:rPr>
        <w:footnoteReference w:id="1"/>
      </w:r>
      <w:r w:rsidR="005C13B6">
        <w:rPr>
          <w:rFonts w:hint="cs"/>
          <w:rtl/>
          <w:lang w:bidi="ar-SA"/>
        </w:rPr>
        <w:t>. لننظر أولاً في مزمور 116:</w:t>
      </w:r>
    </w:p>
    <w:p w:rsidR="005C13B6" w:rsidRDefault="005C13B6" w:rsidP="005C13B6">
      <w:pPr>
        <w:rPr>
          <w:rtl/>
          <w:lang w:bidi="ar-SA"/>
        </w:rPr>
      </w:pPr>
      <w:r>
        <w:rPr>
          <w:rFonts w:hint="cs"/>
          <w:rtl/>
          <w:lang w:bidi="ar-SA"/>
        </w:rPr>
        <w:t>مزمور 116: 12: "</w:t>
      </w:r>
      <w:r w:rsidRPr="005C13B6">
        <w:rPr>
          <w:rtl/>
          <w:lang w:bidi="ar-SA"/>
        </w:rPr>
        <w:t xml:space="preserve"> مَاذَا أَرُدُّ لِلرَّبِّ مِنْ أَجْلِ كُلِّ حَسَنَاتِهِ لِي؟</w:t>
      </w:r>
      <w:r w:rsidRPr="005C13B6">
        <w:rPr>
          <w:rFonts w:hint="cs"/>
          <w:rtl/>
          <w:lang w:bidi="ar-SA"/>
        </w:rPr>
        <w:t xml:space="preserve"> </w:t>
      </w:r>
      <w:r>
        <w:rPr>
          <w:rFonts w:hint="cs"/>
          <w:rtl/>
          <w:lang w:bidi="ar-SA"/>
        </w:rPr>
        <w:t>"</w:t>
      </w:r>
    </w:p>
    <w:p w:rsidR="005C13B6" w:rsidRDefault="005C13B6" w:rsidP="005C13B6">
      <w:pPr>
        <w:rPr>
          <w:rFonts w:hint="cs"/>
          <w:lang w:bidi="ar-SA"/>
        </w:rPr>
      </w:pPr>
      <w:r>
        <w:rPr>
          <w:rFonts w:hint="cs"/>
          <w:rtl/>
          <w:lang w:bidi="ar-SA"/>
        </w:rPr>
        <w:t xml:space="preserve">من ثم نذهب إلى 2. </w:t>
      </w:r>
      <w:hyperlink r:id="rId8" w:anchor=":~:text=2Kor%205%2C14.15%3A-,Denn,-die%20Liebe%20des" w:history="1">
        <w:r w:rsidRPr="00712BF0">
          <w:rPr>
            <w:rStyle w:val="Hyperlink"/>
            <w:rFonts w:hint="cs"/>
            <w:rtl/>
            <w:lang w:bidi="ar-SA"/>
          </w:rPr>
          <w:t>كورنثوس</w:t>
        </w:r>
      </w:hyperlink>
      <w:r>
        <w:rPr>
          <w:rFonts w:hint="cs"/>
          <w:rtl/>
          <w:lang w:bidi="ar-SA"/>
        </w:rPr>
        <w:t xml:space="preserve"> 5: 15:</w:t>
      </w:r>
    </w:p>
    <w:sectPr w:rsidR="005C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5224" w:rsidRDefault="00EA5224" w:rsidP="005C13B6">
      <w:pPr>
        <w:spacing w:after="0" w:line="240" w:lineRule="auto"/>
      </w:pPr>
      <w:r>
        <w:separator/>
      </w:r>
    </w:p>
  </w:endnote>
  <w:endnote w:type="continuationSeparator" w:id="0">
    <w:p w:rsidR="00EA5224" w:rsidRDefault="00EA5224" w:rsidP="005C1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5224" w:rsidRDefault="00EA5224" w:rsidP="005C13B6">
      <w:pPr>
        <w:spacing w:after="0" w:line="240" w:lineRule="auto"/>
      </w:pPr>
      <w:r>
        <w:separator/>
      </w:r>
    </w:p>
  </w:footnote>
  <w:footnote w:type="continuationSeparator" w:id="0">
    <w:p w:rsidR="00EA5224" w:rsidRDefault="00EA5224" w:rsidP="005C13B6">
      <w:pPr>
        <w:spacing w:after="0" w:line="240" w:lineRule="auto"/>
      </w:pPr>
      <w:r>
        <w:continuationSeparator/>
      </w:r>
    </w:p>
  </w:footnote>
  <w:footnote w:id="1">
    <w:p w:rsidR="005C13B6" w:rsidRPr="005C13B6" w:rsidRDefault="005C13B6">
      <w:pPr>
        <w:pStyle w:val="FootnoteText"/>
        <w:rPr>
          <w:b/>
          <w:bCs/>
          <w:sz w:val="26"/>
          <w:szCs w:val="26"/>
        </w:rPr>
      </w:pPr>
      <w:r w:rsidRPr="005C13B6">
        <w:rPr>
          <w:rStyle w:val="FootnoteReference"/>
          <w:b/>
          <w:bCs/>
          <w:sz w:val="26"/>
          <w:szCs w:val="26"/>
        </w:rPr>
        <w:footnoteRef/>
      </w:r>
      <w:r w:rsidRPr="005C13B6">
        <w:rPr>
          <w:b/>
          <w:bCs/>
          <w:sz w:val="26"/>
          <w:szCs w:val="26"/>
          <w:rtl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69"/>
    <w:rsid w:val="00370E69"/>
    <w:rsid w:val="005C13B6"/>
    <w:rsid w:val="00712BF0"/>
    <w:rsid w:val="00AF6FE2"/>
    <w:rsid w:val="00C0663A"/>
    <w:rsid w:val="00EA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1C03"/>
  <w15:chartTrackingRefBased/>
  <w15:docId w15:val="{E26C8AA5-8838-4AE3-9DA2-98005479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kkal Majalla" w:eastAsiaTheme="minorHAnsi" w:hAnsi="Sakkal Majalla" w:cs="Sakkal Majalla"/>
        <w:sz w:val="28"/>
        <w:szCs w:val="28"/>
        <w:lang w:val="en-US" w:eastAsia="en-US" w:bidi="he-IL"/>
      </w:rPr>
    </w:rPrDefault>
    <w:pPrDefault>
      <w:pPr>
        <w:bidi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0E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E69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C13B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C13B6"/>
    <w:rPr>
      <w:noProof/>
      <w:sz w:val="20"/>
      <w:szCs w:val="20"/>
      <w:lang w:bidi="ar-EG"/>
    </w:rPr>
  </w:style>
  <w:style w:type="character" w:styleId="FootnoteReference">
    <w:name w:val="footnote reference"/>
    <w:basedOn w:val="DefaultParagraphFont"/>
    <w:uiPriority w:val="99"/>
    <w:semiHidden/>
    <w:unhideWhenUsed/>
    <w:rsid w:val="005C13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5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undwords.de/christliche-weihe-a13454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oundwords.de/christliche-weihe-a13454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FDC1B-4B47-42AB-94A9-7D2E340F6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sharara</dc:creator>
  <cp:keywords/>
  <dc:description/>
  <cp:lastModifiedBy>info sharara</cp:lastModifiedBy>
  <cp:revision>4</cp:revision>
  <dcterms:created xsi:type="dcterms:W3CDTF">2022-12-12T08:37:00Z</dcterms:created>
  <dcterms:modified xsi:type="dcterms:W3CDTF">2022-12-12T08:56:00Z</dcterms:modified>
</cp:coreProperties>
</file>