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5D153" w14:textId="77777777" w:rsidR="00FD3BB5" w:rsidRDefault="008F6D3E" w:rsidP="00A7429E">
      <w:pPr>
        <w:jc w:val="both"/>
        <w:rPr>
          <w:rFonts w:ascii="Sakkal Majalla" w:hAnsi="Sakkal Majalla" w:cs="Sakkal Majalla"/>
          <w:sz w:val="28"/>
          <w:szCs w:val="28"/>
          <w:rtl/>
          <w:lang w:bidi="ar-AE"/>
        </w:rPr>
      </w:pPr>
      <w:r>
        <w:fldChar w:fldCharType="begin"/>
      </w:r>
      <w:r>
        <w:instrText xml:space="preserve"> HYPERLINK "https://www.bibelkommentare.de/kommentare/387/eintracht-oder-zwietracht" </w:instrText>
      </w:r>
      <w:r>
        <w:fldChar w:fldCharType="separate"/>
      </w:r>
      <w:r w:rsidR="00A7429E" w:rsidRPr="00A7429E">
        <w:rPr>
          <w:rStyle w:val="Hyperlink"/>
          <w:rFonts w:ascii="Sakkal Majalla" w:hAnsi="Sakkal Majalla" w:cs="Sakkal Majalla" w:hint="cs"/>
          <w:sz w:val="28"/>
          <w:szCs w:val="28"/>
          <w:rtl/>
          <w:lang w:bidi="ar-AE"/>
        </w:rPr>
        <w:t>وئام أم</w:t>
      </w:r>
      <w:r w:rsidR="00A7429E" w:rsidRPr="00A7429E">
        <w:rPr>
          <w:rStyle w:val="Hyperlink"/>
          <w:rFonts w:ascii="Sakkal Majalla" w:hAnsi="Sakkal Majalla" w:cs="Sakkal Majalla" w:hint="cs"/>
          <w:sz w:val="28"/>
          <w:szCs w:val="28"/>
          <w:rtl/>
          <w:lang w:bidi="ar-AE"/>
        </w:rPr>
        <w:t xml:space="preserve"> </w:t>
      </w:r>
      <w:r w:rsidR="00A7429E" w:rsidRPr="00A7429E">
        <w:rPr>
          <w:rStyle w:val="Hyperlink"/>
          <w:rFonts w:ascii="Sakkal Majalla" w:hAnsi="Sakkal Majalla" w:cs="Sakkal Majalla" w:hint="cs"/>
          <w:sz w:val="28"/>
          <w:szCs w:val="28"/>
          <w:rtl/>
          <w:lang w:bidi="ar-AE"/>
        </w:rPr>
        <w:t>نزاع</w:t>
      </w:r>
      <w:r>
        <w:rPr>
          <w:rStyle w:val="Hyperlink"/>
          <w:rFonts w:ascii="Sakkal Majalla" w:hAnsi="Sakkal Majalla" w:cs="Sakkal Majalla"/>
          <w:sz w:val="28"/>
          <w:szCs w:val="28"/>
          <w:lang w:bidi="ar-AE"/>
        </w:rPr>
        <w:fldChar w:fldCharType="end"/>
      </w:r>
    </w:p>
    <w:p w14:paraId="7F1C13D9" w14:textId="77777777" w:rsidR="00A7429E" w:rsidRDefault="00A7429E" w:rsidP="00A7429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مانويل </w:t>
      </w:r>
      <w:proofErr w:type="spellStart"/>
      <w:r>
        <w:rPr>
          <w:rFonts w:ascii="Sakkal Majalla" w:hAnsi="Sakkal Majalla" w:cs="Sakkal Majalla" w:hint="cs"/>
          <w:sz w:val="28"/>
          <w:szCs w:val="28"/>
          <w:rtl/>
          <w:lang w:bidi="ar-AE"/>
        </w:rPr>
        <w:t>زايبل</w:t>
      </w:r>
      <w:proofErr w:type="spellEnd"/>
    </w:p>
    <w:p w14:paraId="73325C99" w14:textId="77777777" w:rsidR="00027AE0" w:rsidRDefault="00027AE0" w:rsidP="00A7429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مقدمة</w:t>
      </w:r>
    </w:p>
    <w:p w14:paraId="6E1741A8" w14:textId="5D2B7D3F" w:rsidR="00027AE0" w:rsidRDefault="002238C0" w:rsidP="00A7429E">
      <w:pPr>
        <w:jc w:val="both"/>
        <w:rPr>
          <w:rFonts w:ascii="Sakkal Majalla" w:hAnsi="Sakkal Majalla" w:cs="Sakkal Majalla"/>
          <w:sz w:val="28"/>
          <w:szCs w:val="28"/>
          <w:rtl/>
          <w:lang w:bidi="ar-AE"/>
        </w:rPr>
      </w:pPr>
      <w:r w:rsidRPr="002238C0">
        <w:rPr>
          <w:rFonts w:ascii="Sakkal Majalla" w:hAnsi="Sakkal Majalla" w:cs="Sakkal Majalla" w:hint="cs"/>
          <w:sz w:val="28"/>
          <w:szCs w:val="28"/>
          <w:rtl/>
          <w:lang w:bidi="ar-AE"/>
        </w:rPr>
        <w:t>يصف</w:t>
      </w:r>
      <w:r w:rsidRPr="002238C0">
        <w:rPr>
          <w:rFonts w:ascii="Sakkal Majalla" w:hAnsi="Sakkal Majalla" w:cs="Sakkal Majalla"/>
          <w:sz w:val="28"/>
          <w:szCs w:val="28"/>
          <w:rtl/>
          <w:lang w:bidi="ar-AE"/>
        </w:rPr>
        <w:t xml:space="preserve"> </w:t>
      </w:r>
      <w:r w:rsidR="00027AE0">
        <w:rPr>
          <w:rFonts w:ascii="Sakkal Majalla" w:hAnsi="Sakkal Majalla" w:cs="Sakkal Majalla" w:hint="cs"/>
          <w:sz w:val="28"/>
          <w:szCs w:val="28"/>
          <w:rtl/>
          <w:lang w:bidi="ar-AE"/>
        </w:rPr>
        <w:t>سفر القضاة تاريخ شعب إسرائيل مباشرة من بعد موت يشوع وشيوخ الشعب حتى بداية تاريخ المملكة. هذ</w:t>
      </w:r>
      <w:r>
        <w:rPr>
          <w:rFonts w:ascii="Sakkal Majalla" w:hAnsi="Sakkal Majalla" w:cs="Sakkal Majalla" w:hint="cs"/>
          <w:sz w:val="28"/>
          <w:szCs w:val="28"/>
          <w:rtl/>
          <w:lang w:bidi="ar-AE"/>
        </w:rPr>
        <w:t>ا</w:t>
      </w:r>
      <w:r w:rsidR="00027AE0">
        <w:rPr>
          <w:rFonts w:ascii="Sakkal Majalla" w:hAnsi="Sakkal Majalla" w:cs="Sakkal Majalla" w:hint="cs"/>
          <w:sz w:val="28"/>
          <w:szCs w:val="28"/>
          <w:rtl/>
          <w:lang w:bidi="ar-AE"/>
        </w:rPr>
        <w:t xml:space="preserve"> نجده في أسفار صموئيل والملوك. سفر القضاة يتناول زمنًا يرينا بالدرجة الأولى الانحطاط، ولكن أيضًا خمس </w:t>
      </w:r>
      <w:proofErr w:type="spellStart"/>
      <w:r w:rsidR="00027AE0">
        <w:rPr>
          <w:rFonts w:ascii="Sakkal Majalla" w:hAnsi="Sakkal Majalla" w:cs="Sakkal Majalla" w:hint="cs"/>
          <w:sz w:val="28"/>
          <w:szCs w:val="28"/>
          <w:rtl/>
          <w:lang w:bidi="ar-AE"/>
        </w:rPr>
        <w:t>نهضات</w:t>
      </w:r>
      <w:proofErr w:type="spellEnd"/>
      <w:r w:rsidR="00027AE0">
        <w:rPr>
          <w:rFonts w:ascii="Sakkal Majalla" w:hAnsi="Sakkal Majalla" w:cs="Sakkal Majalla" w:hint="cs"/>
          <w:sz w:val="28"/>
          <w:szCs w:val="28"/>
          <w:rtl/>
          <w:lang w:bidi="ar-AE"/>
        </w:rPr>
        <w:t xml:space="preserve"> بحكم 12 قاضيًا. الذروة السلبية </w:t>
      </w:r>
      <w:r w:rsidR="00027AE0">
        <w:rPr>
          <w:rFonts w:ascii="Sakkal Majalla" w:hAnsi="Sakkal Majalla" w:cs="Sakkal Majalla"/>
          <w:sz w:val="28"/>
          <w:szCs w:val="28"/>
          <w:rtl/>
          <w:lang w:bidi="ar-AE"/>
        </w:rPr>
        <w:t>–</w:t>
      </w:r>
      <w:r w:rsidR="00027AE0">
        <w:rPr>
          <w:rFonts w:ascii="Sakkal Majalla" w:hAnsi="Sakkal Majalla" w:cs="Sakkal Majalla" w:hint="cs"/>
          <w:sz w:val="28"/>
          <w:szCs w:val="28"/>
          <w:rtl/>
          <w:lang w:bidi="ar-AE"/>
        </w:rPr>
        <w:t xml:space="preserve"> كما وأيضًا</w:t>
      </w:r>
      <w:r w:rsidRPr="002238C0">
        <w:rPr>
          <w:rFonts w:hint="cs"/>
          <w:rtl/>
        </w:rPr>
        <w:t xml:space="preserve"> </w:t>
      </w:r>
      <w:r w:rsidRPr="002238C0">
        <w:rPr>
          <w:rFonts w:ascii="Sakkal Majalla" w:hAnsi="Sakkal Majalla" w:cs="Sakkal Majalla" w:hint="cs"/>
          <w:sz w:val="28"/>
          <w:szCs w:val="28"/>
          <w:rtl/>
          <w:lang w:bidi="ar-AE"/>
        </w:rPr>
        <w:t>يرينا</w:t>
      </w:r>
      <w:r w:rsidR="00027AE0">
        <w:rPr>
          <w:rFonts w:ascii="Sakkal Majalla" w:hAnsi="Sakkal Majalla" w:cs="Sakkal Majalla" w:hint="cs"/>
          <w:sz w:val="28"/>
          <w:szCs w:val="28"/>
          <w:rtl/>
          <w:lang w:bidi="ar-AE"/>
        </w:rPr>
        <w:t xml:space="preserve"> العدد الأخير من السفر</w:t>
      </w:r>
      <w:r w:rsidRPr="002238C0">
        <w:rPr>
          <w:rFonts w:hint="cs"/>
          <w:rtl/>
        </w:rPr>
        <w:t xml:space="preserve"> </w:t>
      </w:r>
      <w:r w:rsidRPr="002238C0">
        <w:rPr>
          <w:rFonts w:ascii="Sakkal Majalla" w:hAnsi="Sakkal Majalla" w:cs="Sakkal Majalla" w:hint="cs"/>
          <w:sz w:val="28"/>
          <w:szCs w:val="28"/>
          <w:rtl/>
          <w:lang w:bidi="ar-AE"/>
        </w:rPr>
        <w:t>الحالة</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العامة</w:t>
      </w:r>
      <w:r w:rsidR="00027AE0">
        <w:rPr>
          <w:rFonts w:ascii="Sakkal Majalla" w:hAnsi="Sakkal Majalla" w:cs="Sakkal Majalla" w:hint="cs"/>
          <w:sz w:val="28"/>
          <w:szCs w:val="28"/>
          <w:rtl/>
          <w:lang w:bidi="ar-AE"/>
        </w:rPr>
        <w:t>: "</w:t>
      </w:r>
      <w:r w:rsidRPr="002238C0">
        <w:rPr>
          <w:rFonts w:ascii="Sakkal Majalla" w:hAnsi="Sakkal Majalla" w:cs="Sakkal Majalla"/>
          <w:sz w:val="28"/>
          <w:szCs w:val="28"/>
          <w:rtl/>
          <w:lang w:bidi="ar-AE"/>
        </w:rPr>
        <w:t xml:space="preserve"> 25 </w:t>
      </w:r>
      <w:r w:rsidRPr="002238C0">
        <w:rPr>
          <w:rFonts w:ascii="Sakkal Majalla" w:hAnsi="Sakkal Majalla" w:cs="Sakkal Majalla" w:hint="cs"/>
          <w:sz w:val="28"/>
          <w:szCs w:val="28"/>
          <w:rtl/>
          <w:lang w:bidi="ar-AE"/>
        </w:rPr>
        <w:t>فِي</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تِلْكَ</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الأَيَّامِ</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لَمْ</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يَكُنْ</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مَلِكٌ</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فِي</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إِسْرَائِيلَ</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كُلُّ</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وَاحِدٍ</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عَمِلَ</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مَا</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حَسُنَ</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فِي</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عَيْنَيْهِ</w:t>
      </w:r>
      <w:r w:rsidRPr="002238C0">
        <w:rPr>
          <w:rFonts w:ascii="Sakkal Majalla" w:hAnsi="Sakkal Majalla" w:cs="Sakkal Majalla"/>
          <w:sz w:val="28"/>
          <w:szCs w:val="28"/>
          <w:rtl/>
          <w:lang w:bidi="ar-AE"/>
        </w:rPr>
        <w:t>.</w:t>
      </w:r>
      <w:r>
        <w:rPr>
          <w:rFonts w:ascii="Sakkal Majalla" w:hAnsi="Sakkal Majalla" w:cs="Sakkal Majalla" w:hint="cs"/>
          <w:sz w:val="28"/>
          <w:szCs w:val="28"/>
          <w:rtl/>
          <w:lang w:bidi="ar-AE"/>
        </w:rPr>
        <w:t>" (قارن 17: 6؛ 18: 1؛ 19: 1؛ ...).</w:t>
      </w:r>
    </w:p>
    <w:p w14:paraId="6870B419" w14:textId="4DF94DA4" w:rsidR="002238C0" w:rsidRDefault="002238C0" w:rsidP="00A7429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هل يمكننا أن نطبق هذه الأفكار المسجلة بطريقة مفصلة للغاية على المسيحيين؟ الكتاب بحد ذاته يعطينا إشارة هامة عن ذلك: "</w:t>
      </w:r>
      <w:r w:rsidRPr="002238C0">
        <w:rPr>
          <w:rFonts w:hint="cs"/>
          <w:rtl/>
        </w:rPr>
        <w:t xml:space="preserve"> </w:t>
      </w:r>
      <w:r w:rsidRPr="002238C0">
        <w:rPr>
          <w:rFonts w:ascii="Sakkal Majalla" w:hAnsi="Sakkal Majalla" w:cs="Sakkal Majalla" w:hint="cs"/>
          <w:sz w:val="28"/>
          <w:szCs w:val="28"/>
          <w:rtl/>
          <w:lang w:bidi="ar-AE"/>
        </w:rPr>
        <w:t>لأَنَّ</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كُلَّ</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مَا</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سَبَقَ</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فَكُتِبَ</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كُتِبَ</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لأَجْلِ</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تَعْلِيمِنَا،</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حَتَّى</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بِالصَّبْرِ</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وَالتَّعْزِيَةِ</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بِمَا</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فِي</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الْكُتُبِ</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يَكُونُ</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لَنَا</w:t>
      </w:r>
      <w:r w:rsidRPr="002238C0">
        <w:rPr>
          <w:rFonts w:ascii="Sakkal Majalla" w:hAnsi="Sakkal Majalla" w:cs="Sakkal Majalla"/>
          <w:sz w:val="28"/>
          <w:szCs w:val="28"/>
          <w:rtl/>
          <w:lang w:bidi="ar-AE"/>
        </w:rPr>
        <w:t xml:space="preserve"> </w:t>
      </w:r>
      <w:r w:rsidRPr="002238C0">
        <w:rPr>
          <w:rFonts w:ascii="Sakkal Majalla" w:hAnsi="Sakkal Majalla" w:cs="Sakkal Majalla" w:hint="cs"/>
          <w:sz w:val="28"/>
          <w:szCs w:val="28"/>
          <w:rtl/>
          <w:lang w:bidi="ar-AE"/>
        </w:rPr>
        <w:t>رَجَاءٌ</w:t>
      </w:r>
      <w:r w:rsidRPr="002238C0">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(رومية 15: 4). والآن من الممكن أن لا نرى في هذه الإصحاحات بالدرجة الأولى ما هو لتعزيتنا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إلا إذا تقبّلنا التعاليم في قلوبنا التي أشار بها لنا روح الله هنا. أما بشكل مباشر وكتعليم أخلاقي من الممكن أن يعيننا</w:t>
      </w:r>
      <w:r w:rsidR="00CB0A06">
        <w:rPr>
          <w:rFonts w:ascii="Sakkal Majalla" w:hAnsi="Sakkal Majalla" w:cs="Sakkal Majalla" w:hint="cs"/>
          <w:sz w:val="28"/>
          <w:szCs w:val="28"/>
          <w:rtl/>
          <w:lang w:bidi="ar-AE"/>
        </w:rPr>
        <w:t xml:space="preserve"> هذا المقطع كثيرًا. أخيرًا العدد الختامي المقتبس أعلاه من السفر هو كذلك وميض رجاء لأنه بما معناه يُدخل الملك الآتي في المشهد. لأنه سيأتي ...</w:t>
      </w:r>
    </w:p>
    <w:p w14:paraId="7024649E" w14:textId="4CC9A129" w:rsidR="00CB0A06" w:rsidRDefault="00CB0A06" w:rsidP="00A7429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موضوع هام يتناوله القضاة 19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21 هو تعامل شعب الله بعضهم مع بعض، عند ارتكاب خطية لم يتم إدانتها ولم يُعترف بها أمام الله والناس. فحينها كان الأمر هكذا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واليوم أيضًا لا زال الأمر كذلك في موضوع الخطايا المطابقة في طابعها الحالات المذكورة في 1. كورنثوس 5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بأنه كان ينبغي ممارسة التأديب. السؤال الهام، الذي يجيب عليه قضاة 20 بالذات بإجابات مفيدة جدًا لنا، هو كالتالي: كيف، أو بمعنى، بأي مفهوم نمارس هذا التأديب؟ ما هي دوافعنا، ما هي حالتنا نحن، إن كان ينبغي علينا أن نتصرف ككنيسة محلية</w:t>
      </w:r>
      <w:r>
        <w:rPr>
          <w:rStyle w:val="FootnoteReference"/>
          <w:rFonts w:ascii="Sakkal Majalla" w:hAnsi="Sakkal Majalla" w:cs="Sakkal Majalla"/>
          <w:sz w:val="28"/>
          <w:szCs w:val="28"/>
          <w:rtl/>
          <w:lang w:bidi="ar-AE"/>
        </w:rPr>
        <w:footnoteReference w:id="1"/>
      </w:r>
      <w:r>
        <w:rPr>
          <w:rFonts w:ascii="Sakkal Majalla" w:hAnsi="Sakkal Majalla" w:cs="Sakkal Majalla" w:hint="cs"/>
          <w:sz w:val="28"/>
          <w:szCs w:val="28"/>
          <w:rtl/>
          <w:lang w:bidi="ar-AE"/>
        </w:rPr>
        <w:t xml:space="preserve"> وفق كلمة الله أو عندما يتعلق الأمر بأن نحكم</w:t>
      </w:r>
      <w:r w:rsidR="00490738">
        <w:rPr>
          <w:rFonts w:ascii="Sakkal Majalla" w:hAnsi="Sakkal Majalla" w:cs="Sakkal Majalla" w:hint="cs"/>
          <w:sz w:val="28"/>
          <w:szCs w:val="28"/>
          <w:rtl/>
          <w:lang w:bidi="ar-AE"/>
        </w:rPr>
        <w:t>، على سبيل المثال إن كان اجتماع محلي يجتمع على أساس الكتاب.</w:t>
      </w:r>
    </w:p>
    <w:p w14:paraId="029E5E6F" w14:textId="77777777" w:rsidR="00487ACC" w:rsidRDefault="00490738" w:rsidP="00490738">
      <w:pPr>
        <w:jc w:val="both"/>
        <w:rPr>
          <w:rFonts w:ascii="Sakkal Majalla" w:hAnsi="Sakkal Majalla" w:cs="Sakkal Majalla"/>
          <w:sz w:val="28"/>
          <w:szCs w:val="28"/>
          <w:lang w:bidi="ar-AE"/>
        </w:rPr>
        <w:sectPr w:rsidR="00487ACC"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lastRenderedPageBreak/>
        <w:t xml:space="preserve">يرينا الكتاب بأن الأمر لا يتعلق فقط بـ"ماذا"، وإنما </w:t>
      </w:r>
      <w:proofErr w:type="spellStart"/>
      <w:r>
        <w:rPr>
          <w:rFonts w:ascii="Sakkal Majalla" w:hAnsi="Sakkal Majalla" w:cs="Sakkal Majalla" w:hint="cs"/>
          <w:sz w:val="28"/>
          <w:szCs w:val="28"/>
          <w:rtl/>
          <w:lang w:bidi="ar-AE"/>
        </w:rPr>
        <w:t>الـ"كيف</w:t>
      </w:r>
      <w:proofErr w:type="spellEnd"/>
      <w:r>
        <w:rPr>
          <w:rFonts w:ascii="Sakkal Majalla" w:hAnsi="Sakkal Majalla" w:cs="Sakkal Majalla" w:hint="cs"/>
          <w:sz w:val="28"/>
          <w:szCs w:val="28"/>
          <w:rtl/>
          <w:lang w:bidi="ar-AE"/>
        </w:rPr>
        <w:t>" تلعب دورًا حاسمًا بين شعب الله. يا للخسارة لو لم يكن بإمكاننا أن نصل إلى الاستنتاجات الصحيحة لنا من أحداث الإصحاح الأول. في سفر القضاة نتعلم الحالات الكارثية التي يمكن أن يؤديها نزاع جسدي بين الأخوة.</w:t>
      </w:r>
    </w:p>
    <w:p w14:paraId="6D8665EF" w14:textId="67376F90" w:rsidR="00487ACC" w:rsidRDefault="00487ACC" w:rsidP="00487A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تمهيد</w:t>
      </w:r>
    </w:p>
    <w:p w14:paraId="54BFE604" w14:textId="7244C643" w:rsidR="00487ACC" w:rsidRDefault="00487ACC" w:rsidP="00487A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كثيرًا ما تمت مقارنة زمن القضاة بزمن المسيحية من بعد فراق الرسل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أي بمعنى الشيوخ -. فعلاً أن زمن المسيحيين كما يوضحه لنا مثل الزارع في متى 13: 24 إلخ. كما ورسائل الكنائس في رؤيا 2 و 3، يتميز بالانحطاط. لأجل هذا السبب تسلمنا الأحداث كل واحدة منها في سفر القضاة أيضًا تعاليمًا هامة عملية لزمننا اليوم.</w:t>
      </w:r>
    </w:p>
    <w:p w14:paraId="5376ECA1" w14:textId="340F7AF4" w:rsidR="00487ACC" w:rsidRDefault="00487ACC" w:rsidP="00487A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كما ويوجد لنا أمر لم يكن له وجود في زمن القضاة إلا في صورة محدودة فقط: كلمة الله. يشوع كان قد ترك للشعب ميراثًا وهكذا أيضًا ربنا يسوع المسيح. غير أنه وهبنا كلمة الله التي تطرح أمامنا كل الحق المُعلَن والموحى من الله.</w:t>
      </w:r>
    </w:p>
    <w:p w14:paraId="50ECA46D" w14:textId="494A3C15" w:rsidR="00487ACC" w:rsidRDefault="00487ACC" w:rsidP="00487A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ملحق في سفر القضاة: إصحاح 17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21</w:t>
      </w:r>
    </w:p>
    <w:p w14:paraId="1AA3256F" w14:textId="5A0C6147" w:rsidR="00487ACC" w:rsidRDefault="00487ACC" w:rsidP="00487A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هذا ينطبق أيضًا على </w:t>
      </w:r>
      <w:r w:rsidR="00473FAC">
        <w:rPr>
          <w:rFonts w:ascii="Sakkal Majalla" w:hAnsi="Sakkal Majalla" w:cs="Sakkal Majalla" w:hint="cs"/>
          <w:sz w:val="28"/>
          <w:szCs w:val="28"/>
          <w:rtl/>
          <w:lang w:bidi="ar-AE"/>
        </w:rPr>
        <w:t xml:space="preserve">الثلاث </w:t>
      </w:r>
      <w:proofErr w:type="spellStart"/>
      <w:r w:rsidR="00473FAC">
        <w:rPr>
          <w:rFonts w:ascii="Sakkal Majalla" w:hAnsi="Sakkal Majalla" w:cs="Sakkal Majalla" w:hint="cs"/>
          <w:sz w:val="28"/>
          <w:szCs w:val="28"/>
          <w:rtl/>
          <w:lang w:bidi="ar-AE"/>
        </w:rPr>
        <w:t>إصحاحات</w:t>
      </w:r>
      <w:proofErr w:type="spellEnd"/>
      <w:r w:rsidR="00473FAC">
        <w:rPr>
          <w:rFonts w:ascii="Sakkal Majalla" w:hAnsi="Sakkal Majalla" w:cs="Sakkal Majalla" w:hint="cs"/>
          <w:sz w:val="28"/>
          <w:szCs w:val="28"/>
          <w:rtl/>
          <w:lang w:bidi="ar-AE"/>
        </w:rPr>
        <w:t xml:space="preserve"> الأخيرة من سفر القضاة، التي تشكل مع الإصحاحين 17 و 18 قبله ملحقًا مطروحة فيه من جانب واحد الفساد الروحي المتواجد في إسرائيل </w:t>
      </w:r>
      <w:r w:rsidR="00473FAC">
        <w:rPr>
          <w:rFonts w:ascii="Sakkal Majalla" w:hAnsi="Sakkal Majalla" w:cs="Sakkal Majalla"/>
          <w:sz w:val="28"/>
          <w:szCs w:val="28"/>
          <w:rtl/>
          <w:lang w:bidi="ar-AE"/>
        </w:rPr>
        <w:t>–</w:t>
      </w:r>
      <w:r w:rsidR="00473FAC">
        <w:rPr>
          <w:rFonts w:ascii="Sakkal Majalla" w:hAnsi="Sakkal Majalla" w:cs="Sakkal Majalla" w:hint="cs"/>
          <w:sz w:val="28"/>
          <w:szCs w:val="28"/>
          <w:rtl/>
          <w:lang w:bidi="ar-AE"/>
        </w:rPr>
        <w:t xml:space="preserve"> عبادة الأصنام وجبروت (إصحاح 17 و 18) </w:t>
      </w:r>
      <w:r w:rsidR="00473FAC">
        <w:rPr>
          <w:rFonts w:ascii="Sakkal Majalla" w:hAnsi="Sakkal Majalla" w:cs="Sakkal Majalla"/>
          <w:sz w:val="28"/>
          <w:szCs w:val="28"/>
          <w:rtl/>
          <w:lang w:bidi="ar-AE"/>
        </w:rPr>
        <w:t>–</w:t>
      </w:r>
      <w:r w:rsidR="00473FAC">
        <w:rPr>
          <w:rFonts w:ascii="Sakkal Majalla" w:hAnsi="Sakkal Majalla" w:cs="Sakkal Majalla" w:hint="cs"/>
          <w:sz w:val="28"/>
          <w:szCs w:val="28"/>
          <w:rtl/>
          <w:lang w:bidi="ar-AE"/>
        </w:rPr>
        <w:t xml:space="preserve"> كما وفي الجانب الآخر الفساد الأخلاقي والجبروت المرتبط به (إصحاح 19 </w:t>
      </w:r>
      <w:r w:rsidR="00473FAC">
        <w:rPr>
          <w:rFonts w:ascii="Sakkal Majalla" w:hAnsi="Sakkal Majalla" w:cs="Sakkal Majalla"/>
          <w:sz w:val="28"/>
          <w:szCs w:val="28"/>
          <w:rtl/>
          <w:lang w:bidi="ar-AE"/>
        </w:rPr>
        <w:t>–</w:t>
      </w:r>
      <w:r w:rsidR="00473FAC">
        <w:rPr>
          <w:rFonts w:ascii="Sakkal Majalla" w:hAnsi="Sakkal Majalla" w:cs="Sakkal Majalla" w:hint="cs"/>
          <w:sz w:val="28"/>
          <w:szCs w:val="28"/>
          <w:rtl/>
          <w:lang w:bidi="ar-AE"/>
        </w:rPr>
        <w:t xml:space="preserve"> 21). هذه الإصحاحات الخمس تسلمنا السبب للسقوط الذي نعيه في سفر القضاة من الإصحاح الأول. في الإصحاحين المذكورين أولاً يرينا أصول كل شر، الاعتراض أو الابتعاد عن الله الحقيقي الوحيد. ومن هذا الانفصال نتجت ثمار أخلاقية وتعليمية ردية نتقابل بها في الثلاث </w:t>
      </w:r>
      <w:proofErr w:type="spellStart"/>
      <w:r w:rsidR="00473FAC">
        <w:rPr>
          <w:rFonts w:ascii="Sakkal Majalla" w:hAnsi="Sakkal Majalla" w:cs="Sakkal Majalla" w:hint="cs"/>
          <w:sz w:val="28"/>
          <w:szCs w:val="28"/>
          <w:rtl/>
          <w:lang w:bidi="ar-AE"/>
        </w:rPr>
        <w:t>إصحاحات</w:t>
      </w:r>
      <w:proofErr w:type="spellEnd"/>
      <w:r w:rsidR="00473FAC">
        <w:rPr>
          <w:rFonts w:ascii="Sakkal Majalla" w:hAnsi="Sakkal Majalla" w:cs="Sakkal Majalla" w:hint="cs"/>
          <w:sz w:val="28"/>
          <w:szCs w:val="28"/>
          <w:rtl/>
          <w:lang w:bidi="ar-AE"/>
        </w:rPr>
        <w:t xml:space="preserve"> الأخيرة.</w:t>
      </w:r>
    </w:p>
    <w:p w14:paraId="27FCB4A4" w14:textId="7B6DF977" w:rsidR="000F0E0B" w:rsidRDefault="000F0E0B" w:rsidP="00487A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المفيد أن ندرك بأنه هنالك أسباب للانحطاط في شعب الله. هذ</w:t>
      </w:r>
      <w:r w:rsidR="008662F0">
        <w:rPr>
          <w:rFonts w:ascii="Sakkal Majalla" w:hAnsi="Sakkal Majalla" w:cs="Sakkal Majalla" w:hint="cs"/>
          <w:sz w:val="28"/>
          <w:szCs w:val="28"/>
          <w:rtl/>
          <w:lang w:bidi="ar-AE"/>
        </w:rPr>
        <w:t>ه</w:t>
      </w:r>
      <w:r>
        <w:rPr>
          <w:rFonts w:ascii="Sakkal Majalla" w:hAnsi="Sakkal Majalla" w:cs="Sakkal Majalla" w:hint="cs"/>
          <w:sz w:val="28"/>
          <w:szCs w:val="28"/>
          <w:rtl/>
          <w:lang w:bidi="ar-AE"/>
        </w:rPr>
        <w:t xml:space="preserve"> تنكشف أمامنا في</w:t>
      </w:r>
      <w:r w:rsidR="008662F0">
        <w:rPr>
          <w:rFonts w:ascii="Sakkal Majalla" w:hAnsi="Sakkal Majalla" w:cs="Sakkal Majalla" w:hint="cs"/>
          <w:sz w:val="28"/>
          <w:szCs w:val="28"/>
          <w:rtl/>
          <w:lang w:bidi="ar-AE"/>
        </w:rPr>
        <w:t xml:space="preserve"> هذه</w:t>
      </w:r>
      <w:r>
        <w:rPr>
          <w:rFonts w:ascii="Sakkal Majalla" w:hAnsi="Sakkal Majalla" w:cs="Sakkal Majalla" w:hint="cs"/>
          <w:sz w:val="28"/>
          <w:szCs w:val="28"/>
          <w:rtl/>
          <w:lang w:bidi="ar-AE"/>
        </w:rPr>
        <w:t xml:space="preserve"> الإصحاحات الخمس بطريقة مصورة.</w:t>
      </w:r>
    </w:p>
    <w:p w14:paraId="450831DB" w14:textId="69F588FE" w:rsidR="008662F0" w:rsidRDefault="008662F0" w:rsidP="00487A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قلوبنا قادرة على عمل كل شيء</w:t>
      </w:r>
    </w:p>
    <w:p w14:paraId="0F2EDEC8" w14:textId="67147F16" w:rsidR="000F0E0B" w:rsidRDefault="008662F0" w:rsidP="00487A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أليست هذه بالتحديد أصول وثمار يتميز بها وقتنا الحاضر، زمن المسيحية؟ الله يرجو بأن ننفصل عن مثل هذا الانحراف الأخلاقي وعن الأشخاص الذين يتسمون بها، إليه هو؛ لأنه هو قدوس فهكذا نحن أيضًا (1. بطرس 1: 16)! نحن نشعر بأن هذه الإصحاحات تكلمنا بلغة حية اليوم لأنها تتحدى قلوبنا. كل هذا ليس فقط ممكنًا في قلوب الغير مؤمنين، وإنما أيضًا في قلوبنا نحن.</w:t>
      </w:r>
    </w:p>
    <w:p w14:paraId="185C5FD6" w14:textId="0A87AFBD" w:rsidR="00A82A7E" w:rsidRDefault="00CD2FE2" w:rsidP="00487A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بالأخص </w:t>
      </w:r>
      <w:r w:rsidR="00A82A7E">
        <w:rPr>
          <w:rFonts w:ascii="Sakkal Majalla" w:hAnsi="Sakkal Majalla" w:cs="Sakkal Majalla" w:hint="cs"/>
          <w:sz w:val="28"/>
          <w:szCs w:val="28"/>
          <w:rtl/>
          <w:lang w:bidi="ar-AE"/>
        </w:rPr>
        <w:t xml:space="preserve">عندما نأتي ونتأمل في حياة أحد أكثر رجال الله أمانة </w:t>
      </w:r>
      <w:r w:rsidR="00A82A7E">
        <w:rPr>
          <w:rFonts w:ascii="Sakkal Majalla" w:hAnsi="Sakkal Majalla" w:cs="Sakkal Majalla"/>
          <w:sz w:val="28"/>
          <w:szCs w:val="28"/>
          <w:rtl/>
          <w:lang w:bidi="ar-AE"/>
        </w:rPr>
        <w:t>–</w:t>
      </w:r>
      <w:r w:rsidR="00A82A7E">
        <w:rPr>
          <w:rFonts w:ascii="Sakkal Majalla" w:hAnsi="Sakkal Majalla" w:cs="Sakkal Majalla" w:hint="cs"/>
          <w:sz w:val="28"/>
          <w:szCs w:val="28"/>
          <w:rtl/>
          <w:lang w:bidi="ar-AE"/>
        </w:rPr>
        <w:t xml:space="preserve"> داود </w:t>
      </w:r>
      <w:r w:rsidR="00A82A7E">
        <w:rPr>
          <w:rFonts w:ascii="Sakkal Majalla" w:hAnsi="Sakkal Majalla" w:cs="Sakkal Majalla"/>
          <w:sz w:val="28"/>
          <w:szCs w:val="28"/>
          <w:rtl/>
          <w:lang w:bidi="ar-AE"/>
        </w:rPr>
        <w:t>–</w:t>
      </w:r>
      <w:r w:rsidR="00A82A7E">
        <w:rPr>
          <w:rFonts w:ascii="Sakkal Majalla" w:hAnsi="Sakkal Majalla" w:cs="Sakkal Majalla" w:hint="cs"/>
          <w:sz w:val="28"/>
          <w:szCs w:val="28"/>
          <w:rtl/>
          <w:lang w:bidi="ar-AE"/>
        </w:rPr>
        <w:t xml:space="preserve"> </w:t>
      </w:r>
      <w:r w:rsidR="00BB4573">
        <w:rPr>
          <w:rFonts w:ascii="Sakkal Majalla" w:hAnsi="Sakkal Majalla" w:cs="Sakkal Majalla" w:hint="cs"/>
          <w:sz w:val="28"/>
          <w:szCs w:val="28"/>
          <w:rtl/>
          <w:lang w:bidi="ar-AE"/>
        </w:rPr>
        <w:t>س</w:t>
      </w:r>
      <w:r w:rsidR="00A82A7E">
        <w:rPr>
          <w:rFonts w:ascii="Sakkal Majalla" w:hAnsi="Sakkal Majalla" w:cs="Sakkal Majalla" w:hint="cs"/>
          <w:sz w:val="28"/>
          <w:szCs w:val="28"/>
          <w:rtl/>
          <w:lang w:bidi="ar-AE"/>
        </w:rPr>
        <w:t xml:space="preserve">نرى، ما </w:t>
      </w:r>
      <w:r w:rsidR="00BB4573">
        <w:rPr>
          <w:rFonts w:ascii="Sakkal Majalla" w:hAnsi="Sakkal Majalla" w:cs="Sakkal Majalla" w:hint="cs"/>
          <w:sz w:val="28"/>
          <w:szCs w:val="28"/>
          <w:rtl/>
          <w:lang w:bidi="ar-AE"/>
        </w:rPr>
        <w:t xml:space="preserve">نحن </w:t>
      </w:r>
      <w:r w:rsidR="00A82A7E">
        <w:rPr>
          <w:rFonts w:ascii="Sakkal Majalla" w:hAnsi="Sakkal Majalla" w:cs="Sakkal Majalla" w:hint="cs"/>
          <w:sz w:val="28"/>
          <w:szCs w:val="28"/>
          <w:rtl/>
          <w:lang w:bidi="ar-AE"/>
        </w:rPr>
        <w:t xml:space="preserve">بوسعنا أن نفعله. إنه يشعرنا بالذُلّ كثيرًا، ويقودنا بأن نحكم بحذر </w:t>
      </w:r>
      <w:r w:rsidR="00BB4573">
        <w:rPr>
          <w:rFonts w:ascii="Sakkal Majalla" w:hAnsi="Sakkal Majalla" w:cs="Sakkal Majalla" w:hint="cs"/>
          <w:sz w:val="28"/>
          <w:szCs w:val="28"/>
          <w:rtl/>
          <w:lang w:bidi="ar-AE"/>
        </w:rPr>
        <w:t xml:space="preserve">على </w:t>
      </w:r>
      <w:r w:rsidR="00A82A7E">
        <w:rPr>
          <w:rFonts w:ascii="Sakkal Majalla" w:hAnsi="Sakkal Majalla" w:cs="Sakkal Majalla" w:hint="cs"/>
          <w:sz w:val="28"/>
          <w:szCs w:val="28"/>
          <w:rtl/>
          <w:lang w:bidi="ar-AE"/>
        </w:rPr>
        <w:t>هذا المقطع و</w:t>
      </w:r>
      <w:r w:rsidR="00FF5107">
        <w:rPr>
          <w:rFonts w:ascii="Sakkal Majalla" w:hAnsi="Sakkal Majalla" w:cs="Sakkal Majalla" w:hint="cs"/>
          <w:sz w:val="28"/>
          <w:szCs w:val="28"/>
          <w:rtl/>
          <w:lang w:bidi="ar-AE"/>
        </w:rPr>
        <w:t xml:space="preserve">على </w:t>
      </w:r>
      <w:r w:rsidR="00A82A7E">
        <w:rPr>
          <w:rFonts w:ascii="Sakkal Majalla" w:hAnsi="Sakkal Majalla" w:cs="Sakkal Majalla" w:hint="cs"/>
          <w:sz w:val="28"/>
          <w:szCs w:val="28"/>
          <w:rtl/>
          <w:lang w:bidi="ar-AE"/>
        </w:rPr>
        <w:t xml:space="preserve">أشخاص آخرين، ويشدد كل تركيزه على التعاليم الأخلاقية في هذا الإصحاح. </w:t>
      </w:r>
      <w:r w:rsidR="00FF5107">
        <w:rPr>
          <w:rFonts w:ascii="Sakkal Majalla" w:hAnsi="Sakkal Majalla" w:cs="Sakkal Majalla" w:hint="cs"/>
          <w:sz w:val="28"/>
          <w:szCs w:val="28"/>
          <w:rtl/>
          <w:lang w:bidi="ar-AE"/>
        </w:rPr>
        <w:t>و</w:t>
      </w:r>
      <w:r w:rsidR="00FF5107" w:rsidRPr="00FF5107">
        <w:rPr>
          <w:rFonts w:ascii="Sakkal Majalla" w:hAnsi="Sakkal Majalla" w:cs="Sakkal Majalla" w:hint="cs"/>
          <w:sz w:val="28"/>
          <w:szCs w:val="28"/>
          <w:rtl/>
          <w:lang w:bidi="ar-AE"/>
        </w:rPr>
        <w:t>يشتد</w:t>
      </w:r>
      <w:r w:rsidR="00FF5107" w:rsidRPr="00FF5107">
        <w:rPr>
          <w:rFonts w:ascii="Sakkal Majalla" w:hAnsi="Sakkal Majalla" w:cs="Sakkal Majalla"/>
          <w:sz w:val="28"/>
          <w:szCs w:val="28"/>
          <w:rtl/>
          <w:lang w:bidi="ar-AE"/>
        </w:rPr>
        <w:t xml:space="preserve"> </w:t>
      </w:r>
      <w:r w:rsidR="00FF5107" w:rsidRPr="00FF5107">
        <w:rPr>
          <w:rFonts w:ascii="Sakkal Majalla" w:hAnsi="Sakkal Majalla" w:cs="Sakkal Majalla" w:hint="cs"/>
          <w:sz w:val="28"/>
          <w:szCs w:val="28"/>
          <w:rtl/>
          <w:lang w:bidi="ar-AE"/>
        </w:rPr>
        <w:t>هذا</w:t>
      </w:r>
      <w:r w:rsidR="00FF5107" w:rsidRPr="00FF5107">
        <w:rPr>
          <w:rFonts w:ascii="Sakkal Majalla" w:hAnsi="Sakkal Majalla" w:cs="Sakkal Majalla"/>
          <w:sz w:val="28"/>
          <w:szCs w:val="28"/>
          <w:rtl/>
          <w:lang w:bidi="ar-AE"/>
        </w:rPr>
        <w:t xml:space="preserve"> </w:t>
      </w:r>
      <w:r w:rsidR="00FF5107" w:rsidRPr="00FF5107">
        <w:rPr>
          <w:rFonts w:ascii="Sakkal Majalla" w:hAnsi="Sakkal Majalla" w:cs="Sakkal Majalla" w:hint="cs"/>
          <w:sz w:val="28"/>
          <w:szCs w:val="28"/>
          <w:rtl/>
          <w:lang w:bidi="ar-AE"/>
        </w:rPr>
        <w:t>التأثير</w:t>
      </w:r>
      <w:r w:rsidR="00FF5107" w:rsidRPr="00FF5107">
        <w:rPr>
          <w:rFonts w:ascii="Sakkal Majalla" w:hAnsi="Sakkal Majalla" w:cs="Sakkal Majalla" w:hint="cs"/>
          <w:sz w:val="28"/>
          <w:szCs w:val="28"/>
          <w:rtl/>
          <w:lang w:bidi="ar-AE"/>
        </w:rPr>
        <w:t xml:space="preserve"> </w:t>
      </w:r>
      <w:r w:rsidR="00BB4573">
        <w:rPr>
          <w:rFonts w:ascii="Sakkal Majalla" w:hAnsi="Sakkal Majalla" w:cs="Sakkal Majalla" w:hint="cs"/>
          <w:sz w:val="28"/>
          <w:szCs w:val="28"/>
          <w:rtl/>
          <w:lang w:bidi="ar-AE"/>
        </w:rPr>
        <w:t>بالذات من خلال ذِكر الأحداث</w:t>
      </w:r>
      <w:r w:rsidR="00FF5107">
        <w:rPr>
          <w:rFonts w:ascii="Sakkal Majalla" w:hAnsi="Sakkal Majalla" w:cs="Sakkal Majalla" w:hint="cs"/>
          <w:sz w:val="28"/>
          <w:szCs w:val="28"/>
          <w:rtl/>
          <w:lang w:bidi="ar-AE"/>
        </w:rPr>
        <w:t xml:space="preserve"> في تفصيل نادر. هنا لا يتناول الأمور الرديئة ببساطة في شكل سطحي، وإنما يلاحقها حتى إلى جذورها. </w:t>
      </w:r>
    </w:p>
    <w:p w14:paraId="407ED71C" w14:textId="2AC57F57" w:rsidR="00FF5107" w:rsidRDefault="00FF5107" w:rsidP="00FF510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السقوط يبدأ من البداية</w:t>
      </w:r>
    </w:p>
    <w:p w14:paraId="75B2ED57" w14:textId="02691BC8" w:rsidR="00FF5107" w:rsidRDefault="00FF5107" w:rsidP="00FF510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أحداث قضاة 17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21 وقعت في بداية زمن السفر والذي ندركه من ذِكر يوناثان، حفيد موسى (18: 30)، </w:t>
      </w:r>
      <w:proofErr w:type="spellStart"/>
      <w:r>
        <w:rPr>
          <w:rFonts w:ascii="Sakkal Majalla" w:hAnsi="Sakkal Majalla" w:cs="Sakkal Majalla" w:hint="cs"/>
          <w:sz w:val="28"/>
          <w:szCs w:val="28"/>
          <w:rtl/>
          <w:lang w:bidi="ar-AE"/>
        </w:rPr>
        <w:t>وفينحاس</w:t>
      </w:r>
      <w:proofErr w:type="spellEnd"/>
      <w:r>
        <w:rPr>
          <w:rFonts w:ascii="Sakkal Majalla" w:hAnsi="Sakkal Majalla" w:cs="Sakkal Majalla" w:hint="cs"/>
          <w:sz w:val="28"/>
          <w:szCs w:val="28"/>
          <w:rtl/>
          <w:lang w:bidi="ar-AE"/>
        </w:rPr>
        <w:t xml:space="preserve"> (20: 28)، حفيد هارون. فمن ذلك الوقت انحرف الشعب بشكل علني في تصرفه عن وصايا الله. </w:t>
      </w:r>
      <w:r>
        <w:rPr>
          <w:rFonts w:ascii="Sakkal Majalla" w:hAnsi="Sakkal Majalla" w:cs="Sakkal Majalla" w:hint="cs"/>
          <w:sz w:val="28"/>
          <w:szCs w:val="28"/>
          <w:rtl/>
          <w:lang w:bidi="ar-AE"/>
        </w:rPr>
        <w:lastRenderedPageBreak/>
        <w:t xml:space="preserve">فكم بالحري هو حال شعب الله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أكثر بالنظر إلى مسؤوليته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ومن ثم عند نهاية هذا العصر كما نحياه الآن أيضًا في المسيحية</w:t>
      </w:r>
      <w:r w:rsidR="00003928">
        <w:rPr>
          <w:rFonts w:ascii="Sakkal Majalla" w:hAnsi="Sakkal Majalla" w:cs="Sakkal Majalla" w:hint="cs"/>
          <w:sz w:val="28"/>
          <w:szCs w:val="28"/>
          <w:rtl/>
          <w:lang w:bidi="ar-AE"/>
        </w:rPr>
        <w:t>، مرتبط بانحلال وارتداد أخلاقي. ولكن إذ أننا نتغاضى بسهولة جدًا عن الأسباب الحقيقية لحالتنا الردية، يُضيف الله هنا عند نهاية سفر القضاة هذه الإصحاحات الخمس.</w:t>
      </w:r>
    </w:p>
    <w:p w14:paraId="4E2F42B8" w14:textId="77777777" w:rsidR="00585EB8" w:rsidRDefault="007844B1" w:rsidP="00FF5107">
      <w:pPr>
        <w:jc w:val="both"/>
        <w:rPr>
          <w:rFonts w:ascii="Sakkal Majalla" w:hAnsi="Sakkal Majalla" w:cs="Sakkal Majalla"/>
          <w:sz w:val="28"/>
          <w:szCs w:val="28"/>
          <w:lang w:bidi="ar-AE"/>
        </w:rPr>
        <w:sectPr w:rsidR="00585EB8"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 xml:space="preserve">وكما تمت الإشارة سابقًا يشتمل تعليم هذه الإصحاحات على كل ما يمكن أن يفعله الإنسان وللأسف أيضًا المؤمن في خطاياه: فساد وجبروت (تكوين 6: 11)، </w:t>
      </w:r>
      <w:r w:rsidR="0023617A">
        <w:rPr>
          <w:rFonts w:ascii="Sakkal Majalla" w:hAnsi="Sakkal Majalla" w:cs="Sakkal Majalla" w:hint="cs"/>
          <w:sz w:val="28"/>
          <w:szCs w:val="28"/>
          <w:rtl/>
          <w:lang w:bidi="ar-AE"/>
        </w:rPr>
        <w:t>ومنذ القديم عنصرا الخطية الأساسيان، حيث الفساد عبادة الأوثان وانعدام الأخلاق. بينما يُشير الإصحاحان الأولان (17 و 18) على الأغلب إلى علاقة الإنسان بالله (أي بمعنى اللوح الأول من شريعة سيناء)، تمس الإصحاحات الثلاثة بالدرجة الأولى علاقة الناس بين بعضهم البعض (أي اللوح الثاني من الناموس)</w:t>
      </w:r>
      <w:r w:rsidR="00183C0C">
        <w:rPr>
          <w:rFonts w:ascii="Sakkal Majalla" w:hAnsi="Sakkal Majalla" w:cs="Sakkal Majalla" w:hint="cs"/>
          <w:sz w:val="28"/>
          <w:szCs w:val="28"/>
          <w:rtl/>
          <w:lang w:bidi="ar-AE"/>
        </w:rPr>
        <w:t xml:space="preserve">. عدا عن ذلك هنالك الكثير من المتماثلات بين التاريخين </w:t>
      </w:r>
      <w:r w:rsidR="00183C0C">
        <w:rPr>
          <w:rFonts w:ascii="Sakkal Majalla" w:hAnsi="Sakkal Majalla" w:cs="Sakkal Majalla"/>
          <w:sz w:val="28"/>
          <w:szCs w:val="28"/>
          <w:rtl/>
          <w:lang w:bidi="ar-AE"/>
        </w:rPr>
        <w:t>–</w:t>
      </w:r>
      <w:r w:rsidR="00183C0C">
        <w:rPr>
          <w:rFonts w:ascii="Sakkal Majalla" w:hAnsi="Sakkal Majalla" w:cs="Sakkal Majalla" w:hint="cs"/>
          <w:sz w:val="28"/>
          <w:szCs w:val="28"/>
          <w:rtl/>
          <w:lang w:bidi="ar-AE"/>
        </w:rPr>
        <w:t xml:space="preserve"> فقط بالإشارة إلى دور لاويي بيت لحم </w:t>
      </w:r>
      <w:r w:rsidR="00183C0C">
        <w:rPr>
          <w:rFonts w:ascii="Sakkal Majalla" w:hAnsi="Sakkal Majalla" w:cs="Sakkal Majalla"/>
          <w:sz w:val="28"/>
          <w:szCs w:val="28"/>
          <w:rtl/>
          <w:lang w:bidi="ar-AE"/>
        </w:rPr>
        <w:t>–</w:t>
      </w:r>
      <w:r w:rsidR="00183C0C">
        <w:rPr>
          <w:rFonts w:ascii="Sakkal Majalla" w:hAnsi="Sakkal Majalla" w:cs="Sakkal Majalla" w:hint="cs"/>
          <w:sz w:val="28"/>
          <w:szCs w:val="28"/>
          <w:rtl/>
          <w:lang w:bidi="ar-AE"/>
        </w:rPr>
        <w:t xml:space="preserve"> يهوذا (إصحاح 19 </w:t>
      </w:r>
      <w:r w:rsidR="00183C0C">
        <w:rPr>
          <w:rFonts w:ascii="Sakkal Majalla" w:hAnsi="Sakkal Majalla" w:cs="Sakkal Majalla"/>
          <w:sz w:val="28"/>
          <w:szCs w:val="28"/>
          <w:rtl/>
          <w:lang w:bidi="ar-AE"/>
        </w:rPr>
        <w:t>–</w:t>
      </w:r>
      <w:r w:rsidR="00183C0C">
        <w:rPr>
          <w:rFonts w:ascii="Sakkal Majalla" w:hAnsi="Sakkal Majalla" w:cs="Sakkal Majalla" w:hint="cs"/>
          <w:sz w:val="28"/>
          <w:szCs w:val="28"/>
          <w:rtl/>
          <w:lang w:bidi="ar-AE"/>
        </w:rPr>
        <w:t xml:space="preserve"> 21) وجبال </w:t>
      </w:r>
      <w:proofErr w:type="spellStart"/>
      <w:r w:rsidR="00183C0C">
        <w:rPr>
          <w:rFonts w:ascii="Sakkal Majalla" w:hAnsi="Sakkal Majalla" w:cs="Sakkal Majalla" w:hint="cs"/>
          <w:sz w:val="28"/>
          <w:szCs w:val="28"/>
          <w:rtl/>
          <w:lang w:bidi="ar-AE"/>
        </w:rPr>
        <w:t>إفرايم</w:t>
      </w:r>
      <w:proofErr w:type="spellEnd"/>
      <w:r w:rsidR="00183C0C">
        <w:rPr>
          <w:rFonts w:ascii="Sakkal Majalla" w:hAnsi="Sakkal Majalla" w:cs="Sakkal Majalla" w:hint="cs"/>
          <w:sz w:val="28"/>
          <w:szCs w:val="28"/>
          <w:rtl/>
          <w:lang w:bidi="ar-AE"/>
        </w:rPr>
        <w:t xml:space="preserve"> (إصحاح 17 و 18).</w:t>
      </w:r>
    </w:p>
    <w:p w14:paraId="155B71D8" w14:textId="74385131" w:rsidR="007844B1" w:rsidRDefault="00585EB8" w:rsidP="00FF5107">
      <w:pPr>
        <w:jc w:val="both"/>
        <w:rPr>
          <w:rFonts w:ascii="Sakkal Majalla" w:hAnsi="Sakkal Majalla" w:cs="Sakkal Majalla"/>
          <w:sz w:val="28"/>
          <w:szCs w:val="28"/>
          <w:rtl/>
          <w:lang w:bidi="ar-AE"/>
        </w:rPr>
      </w:pPr>
      <w:hyperlink r:id="rId7" w:history="1">
        <w:r w:rsidRPr="00585EB8">
          <w:rPr>
            <w:rStyle w:val="Hyperlink"/>
            <w:rFonts w:ascii="Sakkal Majalla" w:hAnsi="Sakkal Majalla" w:cs="Sakkal Majalla" w:hint="cs"/>
            <w:sz w:val="28"/>
            <w:szCs w:val="28"/>
            <w:rtl/>
            <w:lang w:bidi="ar-AE"/>
          </w:rPr>
          <w:t>نظرة عامة</w:t>
        </w:r>
      </w:hyperlink>
    </w:p>
    <w:p w14:paraId="1D6EE3D4" w14:textId="77777777" w:rsidR="00585EB8" w:rsidRPr="00A7429E" w:rsidRDefault="00585EB8" w:rsidP="00FF5107">
      <w:pPr>
        <w:jc w:val="both"/>
        <w:rPr>
          <w:rFonts w:ascii="Sakkal Majalla" w:hAnsi="Sakkal Majalla" w:cs="Sakkal Majalla"/>
          <w:sz w:val="28"/>
          <w:szCs w:val="28"/>
          <w:lang w:bidi="ar-AE"/>
        </w:rPr>
      </w:pPr>
      <w:bookmarkStart w:id="0" w:name="_GoBack"/>
      <w:bookmarkEnd w:id="0"/>
    </w:p>
    <w:sectPr w:rsidR="00585EB8" w:rsidRPr="00A7429E"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389C62" w14:textId="77777777" w:rsidR="008F6D3E" w:rsidRDefault="008F6D3E" w:rsidP="00CB0A06">
      <w:pPr>
        <w:spacing w:after="0" w:line="240" w:lineRule="auto"/>
      </w:pPr>
      <w:r>
        <w:separator/>
      </w:r>
    </w:p>
  </w:endnote>
  <w:endnote w:type="continuationSeparator" w:id="0">
    <w:p w14:paraId="6E93D95F" w14:textId="77777777" w:rsidR="008F6D3E" w:rsidRDefault="008F6D3E" w:rsidP="00CB0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CFF5CF" w14:textId="77777777" w:rsidR="008F6D3E" w:rsidRDefault="008F6D3E" w:rsidP="00CB0A06">
      <w:pPr>
        <w:spacing w:after="0" w:line="240" w:lineRule="auto"/>
      </w:pPr>
      <w:r>
        <w:separator/>
      </w:r>
    </w:p>
  </w:footnote>
  <w:footnote w:type="continuationSeparator" w:id="0">
    <w:p w14:paraId="5B663B22" w14:textId="77777777" w:rsidR="008F6D3E" w:rsidRDefault="008F6D3E" w:rsidP="00CB0A06">
      <w:pPr>
        <w:spacing w:after="0" w:line="240" w:lineRule="auto"/>
      </w:pPr>
      <w:r>
        <w:continuationSeparator/>
      </w:r>
    </w:p>
  </w:footnote>
  <w:footnote w:id="1">
    <w:p w14:paraId="35B8E255" w14:textId="729CEE10" w:rsidR="00CB0A06" w:rsidRDefault="00CB0A06" w:rsidP="00F76BC4">
      <w:pPr>
        <w:pStyle w:val="FootnoteText"/>
        <w:jc w:val="both"/>
        <w:rPr>
          <w:rFonts w:hint="cs"/>
          <w:lang w:bidi="ar-AE"/>
        </w:rPr>
      </w:pPr>
      <w:r>
        <w:rPr>
          <w:rStyle w:val="FootnoteReference"/>
        </w:rPr>
        <w:footnoteRef/>
      </w:r>
      <w:r>
        <w:rPr>
          <w:rtl/>
        </w:rPr>
        <w:t xml:space="preserve"> </w:t>
      </w:r>
      <w:r w:rsidR="00E149AB" w:rsidRPr="00F76BC4">
        <w:rPr>
          <w:rFonts w:ascii="Sakkal Majalla" w:hAnsi="Sakkal Majalla" w:cs="Sakkal Majalla"/>
          <w:b/>
          <w:bCs/>
          <w:sz w:val="26"/>
          <w:szCs w:val="26"/>
          <w:rtl/>
          <w:lang w:bidi="ar-AE"/>
        </w:rPr>
        <w:t xml:space="preserve">الكنيسة هي الكلمة المترجمة من </w:t>
      </w:r>
      <w:proofErr w:type="spellStart"/>
      <w:r w:rsidR="00E149AB" w:rsidRPr="00F76BC4">
        <w:rPr>
          <w:rFonts w:ascii="Sakkal Majalla" w:hAnsi="Sakkal Majalla" w:cs="Sakkal Majalla"/>
          <w:b/>
          <w:bCs/>
          <w:sz w:val="26"/>
          <w:szCs w:val="26"/>
          <w:rtl/>
          <w:lang w:bidi="ar-AE"/>
        </w:rPr>
        <w:t>إكليسيا</w:t>
      </w:r>
      <w:proofErr w:type="spellEnd"/>
      <w:r w:rsidR="00E149AB" w:rsidRPr="00F76BC4">
        <w:rPr>
          <w:rFonts w:ascii="Sakkal Majalla" w:hAnsi="Sakkal Majalla" w:cs="Sakkal Majalla"/>
          <w:b/>
          <w:bCs/>
          <w:sz w:val="26"/>
          <w:szCs w:val="26"/>
          <w:rtl/>
          <w:lang w:bidi="ar-AE"/>
        </w:rPr>
        <w:t xml:space="preserve"> اليونانية وتعني المدعوين للخروج. والمقصود بذلك عدد من الأشخاص دُعيوا ليخرجوا من مجموعة من الناس وليجتمعوا معًا، أي "جماعة شعب"، </w:t>
      </w:r>
      <w:r w:rsidR="005073C0" w:rsidRPr="00F76BC4">
        <w:rPr>
          <w:rFonts w:ascii="Sakkal Majalla" w:hAnsi="Sakkal Majalla" w:cs="Sakkal Majalla"/>
          <w:b/>
          <w:bCs/>
          <w:sz w:val="26"/>
          <w:szCs w:val="26"/>
          <w:rtl/>
          <w:lang w:bidi="ar-AE"/>
        </w:rPr>
        <w:t>"تجمّع أناس"، "اجتماع جماعي". هذه الكلمة مذكورة 114 مرة في العهد الجديد. إلى جانب استخدامها كإشارة لمواطنين (أحرار، ذكوريين الذين أعمارهم أقل من الـ 18 عامًا) في منطقة يونانية (مثلاً في أعمال الرسل 19: 39) تُستخدم "</w:t>
      </w:r>
      <w:proofErr w:type="spellStart"/>
      <w:r w:rsidR="005073C0" w:rsidRPr="00F76BC4">
        <w:rPr>
          <w:rFonts w:ascii="Sakkal Majalla" w:hAnsi="Sakkal Majalla" w:cs="Sakkal Majalla"/>
          <w:b/>
          <w:bCs/>
          <w:sz w:val="26"/>
          <w:szCs w:val="26"/>
          <w:rtl/>
          <w:lang w:bidi="ar-AE"/>
        </w:rPr>
        <w:t>إكليسيا</w:t>
      </w:r>
      <w:proofErr w:type="spellEnd"/>
      <w:r w:rsidR="005073C0" w:rsidRPr="00F76BC4">
        <w:rPr>
          <w:rFonts w:ascii="Sakkal Majalla" w:hAnsi="Sakkal Majalla" w:cs="Sakkal Majalla"/>
          <w:b/>
          <w:bCs/>
          <w:sz w:val="26"/>
          <w:szCs w:val="26"/>
          <w:rtl/>
          <w:lang w:bidi="ar-AE"/>
        </w:rPr>
        <w:t xml:space="preserve">" في العهد الجديد لاجتماع </w:t>
      </w:r>
      <w:proofErr w:type="spellStart"/>
      <w:r w:rsidR="005073C0" w:rsidRPr="00F76BC4">
        <w:rPr>
          <w:rFonts w:ascii="Sakkal Majalla" w:hAnsi="Sakkal Majalla" w:cs="Sakkal Majalla"/>
          <w:b/>
          <w:bCs/>
          <w:sz w:val="26"/>
          <w:szCs w:val="26"/>
          <w:rtl/>
          <w:lang w:bidi="ar-AE"/>
        </w:rPr>
        <w:t>حميع</w:t>
      </w:r>
      <w:proofErr w:type="spellEnd"/>
      <w:r w:rsidR="005073C0" w:rsidRPr="00F76BC4">
        <w:rPr>
          <w:rFonts w:ascii="Sakkal Majalla" w:hAnsi="Sakkal Majalla" w:cs="Sakkal Majalla"/>
          <w:b/>
          <w:bCs/>
          <w:sz w:val="26"/>
          <w:szCs w:val="26"/>
          <w:rtl/>
          <w:lang w:bidi="ar-AE"/>
        </w:rPr>
        <w:t xml:space="preserve"> المؤمنين على الأرض أو في مكان ما. وأنا أستخدم هذه العبارة بهذا المفهوم. الكثير يستخدمون العبارة "اجتماع" أو "كنيسة" في هذا الأمر. إن نظرنا ما وراء المعنى الكتابي – جميع المسيحيين المؤمنين في مكان ما أو على العموم – فالعبارة لا تلعب أي دور حاسم. في هذا العمل أنا أستخدم في صورة عامة عبارة "</w:t>
      </w:r>
      <w:r w:rsidR="00F76BC4" w:rsidRPr="00F76BC4">
        <w:rPr>
          <w:rFonts w:ascii="Sakkal Majalla" w:hAnsi="Sakkal Majalla" w:cs="Sakkal Majalla"/>
          <w:b/>
          <w:bCs/>
          <w:sz w:val="26"/>
          <w:szCs w:val="26"/>
          <w:rtl/>
          <w:lang w:bidi="ar-AE"/>
        </w:rPr>
        <w:t>اجتماع</w:t>
      </w:r>
      <w:r w:rsidR="005073C0" w:rsidRPr="00F76BC4">
        <w:rPr>
          <w:rFonts w:ascii="Sakkal Majalla" w:hAnsi="Sakkal Majalla" w:cs="Sakkal Majalla"/>
          <w:b/>
          <w:bCs/>
          <w:sz w:val="26"/>
          <w:szCs w:val="26"/>
          <w:rtl/>
          <w:lang w:bidi="ar-AE"/>
        </w:rPr>
        <w:t>"، لأنها تعكس لي</w:t>
      </w:r>
      <w:r w:rsidR="00F76BC4" w:rsidRPr="00F76BC4">
        <w:rPr>
          <w:rFonts w:ascii="Sakkal Majalla" w:hAnsi="Sakkal Majalla" w:cs="Sakkal Majalla"/>
          <w:b/>
          <w:bCs/>
          <w:sz w:val="26"/>
          <w:szCs w:val="26"/>
          <w:rtl/>
          <w:lang w:bidi="ar-AE"/>
        </w:rPr>
        <w:t xml:space="preserve"> أفضل معنى للكلمة اليونانية. ولا يُعنى بها الانتماء لجماعة! فهذا لا يعرفه الكتاب المقدس.</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9E"/>
    <w:rsid w:val="00003928"/>
    <w:rsid w:val="00027AE0"/>
    <w:rsid w:val="000C5A11"/>
    <w:rsid w:val="000F0E0B"/>
    <w:rsid w:val="00183C0C"/>
    <w:rsid w:val="002238C0"/>
    <w:rsid w:val="0023617A"/>
    <w:rsid w:val="003056E7"/>
    <w:rsid w:val="00473FAC"/>
    <w:rsid w:val="00487ACC"/>
    <w:rsid w:val="00490738"/>
    <w:rsid w:val="005073C0"/>
    <w:rsid w:val="00585EB8"/>
    <w:rsid w:val="007844B1"/>
    <w:rsid w:val="008662F0"/>
    <w:rsid w:val="008F6D3E"/>
    <w:rsid w:val="00A7429E"/>
    <w:rsid w:val="00A82A7E"/>
    <w:rsid w:val="00BA192E"/>
    <w:rsid w:val="00BB4573"/>
    <w:rsid w:val="00C442EF"/>
    <w:rsid w:val="00CB0A06"/>
    <w:rsid w:val="00CD2FE2"/>
    <w:rsid w:val="00E149AB"/>
    <w:rsid w:val="00F76BC4"/>
    <w:rsid w:val="00FD3BB5"/>
    <w:rsid w:val="00FF51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1FD8"/>
  <w15:chartTrackingRefBased/>
  <w15:docId w15:val="{1ECD2710-FFEA-42ED-9F68-799FF064C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429E"/>
    <w:rPr>
      <w:color w:val="0563C1" w:themeColor="hyperlink"/>
      <w:u w:val="single"/>
    </w:rPr>
  </w:style>
  <w:style w:type="character" w:styleId="UnresolvedMention">
    <w:name w:val="Unresolved Mention"/>
    <w:basedOn w:val="DefaultParagraphFont"/>
    <w:uiPriority w:val="99"/>
    <w:semiHidden/>
    <w:unhideWhenUsed/>
    <w:rsid w:val="00A7429E"/>
    <w:rPr>
      <w:color w:val="605E5C"/>
      <w:shd w:val="clear" w:color="auto" w:fill="E1DFDD"/>
    </w:rPr>
  </w:style>
  <w:style w:type="character" w:styleId="FollowedHyperlink">
    <w:name w:val="FollowedHyperlink"/>
    <w:basedOn w:val="DefaultParagraphFont"/>
    <w:uiPriority w:val="99"/>
    <w:semiHidden/>
    <w:unhideWhenUsed/>
    <w:rsid w:val="002238C0"/>
    <w:rPr>
      <w:color w:val="954F72" w:themeColor="followedHyperlink"/>
      <w:u w:val="single"/>
    </w:rPr>
  </w:style>
  <w:style w:type="paragraph" w:styleId="FootnoteText">
    <w:name w:val="footnote text"/>
    <w:basedOn w:val="Normal"/>
    <w:link w:val="FootnoteTextChar"/>
    <w:uiPriority w:val="99"/>
    <w:semiHidden/>
    <w:unhideWhenUsed/>
    <w:rsid w:val="00CB0A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0A06"/>
    <w:rPr>
      <w:sz w:val="20"/>
      <w:szCs w:val="20"/>
      <w:lang w:bidi="ar-EG"/>
    </w:rPr>
  </w:style>
  <w:style w:type="character" w:styleId="FootnoteReference">
    <w:name w:val="footnote reference"/>
    <w:basedOn w:val="DefaultParagraphFont"/>
    <w:uiPriority w:val="99"/>
    <w:semiHidden/>
    <w:unhideWhenUsed/>
    <w:rsid w:val="00CB0A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2993/eintracht-oder-zwietracht/ueberblick"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9995B-B8CF-4DC8-A2A8-644BE8AD6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5</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10</cp:revision>
  <dcterms:created xsi:type="dcterms:W3CDTF">2020-12-21T14:17:00Z</dcterms:created>
  <dcterms:modified xsi:type="dcterms:W3CDTF">2020-12-22T09:24:00Z</dcterms:modified>
</cp:coreProperties>
</file>