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4FD17" w14:textId="39E578B0" w:rsidR="00AF6FE2" w:rsidRDefault="006F4312">
      <w:pPr>
        <w:rPr>
          <w:rtl/>
          <w:lang w:bidi="ar-SA"/>
        </w:rPr>
      </w:pPr>
      <w:r>
        <w:fldChar w:fldCharType="begin"/>
      </w:r>
      <w:r>
        <w:instrText>HYPERLINK "https://www.bibelkommentare.de/kommentare/103/der-herr-ist-rettung"</w:instrText>
      </w:r>
      <w:r>
        <w:fldChar w:fldCharType="separate"/>
      </w:r>
      <w:r w:rsidRPr="006F4312">
        <w:rPr>
          <w:rStyle w:val="Hyperlink"/>
          <w:rtl/>
          <w:lang w:bidi="ar-SA"/>
        </w:rPr>
        <w:t>الرب الخلاص</w:t>
      </w:r>
      <w:r>
        <w:fldChar w:fldCharType="end"/>
      </w:r>
    </w:p>
    <w:p w14:paraId="20859B05" w14:textId="1F3DE0C6" w:rsidR="006F4312" w:rsidRDefault="006F4312" w:rsidP="006F4312">
      <w:pPr>
        <w:bidi w:val="0"/>
        <w:rPr>
          <w:lang w:bidi="ar-SA"/>
        </w:rPr>
      </w:pPr>
      <w:r w:rsidRPr="006F4312">
        <w:rPr>
          <w:lang w:bidi="ar-SA"/>
        </w:rPr>
        <w:t>Arend Remmers</w:t>
      </w:r>
    </w:p>
    <w:p w14:paraId="4319FE1C" w14:textId="76ECA3B0" w:rsidR="006F4312" w:rsidRDefault="006F4312">
      <w:pPr>
        <w:rPr>
          <w:rtl/>
          <w:lang w:bidi="ar-SA"/>
        </w:rPr>
      </w:pPr>
      <w:r>
        <w:rPr>
          <w:rFonts w:hint="cs"/>
          <w:rtl/>
          <w:lang w:bidi="ar-SA"/>
        </w:rPr>
        <w:t>مقدمة</w:t>
      </w:r>
    </w:p>
    <w:p w14:paraId="7E08BCC2" w14:textId="695AE201" w:rsidR="006F4312" w:rsidRDefault="006F4312">
      <w:pPr>
        <w:rPr>
          <w:rtl/>
          <w:lang w:bidi="ar-SA"/>
        </w:rPr>
      </w:pPr>
      <w:r>
        <w:rPr>
          <w:rFonts w:hint="cs"/>
          <w:rtl/>
          <w:lang w:bidi="ar-SA"/>
        </w:rPr>
        <w:t>خلفية تاريخية</w:t>
      </w:r>
    </w:p>
    <w:p w14:paraId="4D61BEC9" w14:textId="1BBA861D" w:rsidR="006F4312" w:rsidRDefault="006F4312">
      <w:pPr>
        <w:rPr>
          <w:rtl/>
          <w:lang w:bidi="ar-SA"/>
        </w:rPr>
      </w:pPr>
      <w:r>
        <w:rPr>
          <w:rFonts w:hint="cs"/>
          <w:rtl/>
          <w:lang w:bidi="ar-SA"/>
        </w:rPr>
        <w:t xml:space="preserve">إشعياء ("يهوه هو الخلاص")، ابن </w:t>
      </w:r>
      <w:proofErr w:type="spellStart"/>
      <w:r>
        <w:rPr>
          <w:rFonts w:hint="cs"/>
          <w:rtl/>
          <w:lang w:bidi="ar-SA"/>
        </w:rPr>
        <w:t>عاموص</w:t>
      </w:r>
      <w:proofErr w:type="spellEnd"/>
      <w:r>
        <w:rPr>
          <w:rFonts w:hint="cs"/>
          <w:rtl/>
          <w:lang w:bidi="ar-SA"/>
        </w:rPr>
        <w:t xml:space="preserve"> وبحسب التقليد اليهودي كان ابن أخي الملك </w:t>
      </w:r>
      <w:proofErr w:type="spellStart"/>
      <w:r>
        <w:rPr>
          <w:rFonts w:hint="cs"/>
          <w:rtl/>
          <w:lang w:bidi="ar-SA"/>
        </w:rPr>
        <w:t>أمصيا</w:t>
      </w:r>
      <w:proofErr w:type="spellEnd"/>
      <w:r>
        <w:rPr>
          <w:rFonts w:hint="cs"/>
          <w:rtl/>
          <w:lang w:bidi="ar-SA"/>
        </w:rPr>
        <w:t>. إشعياء كان مصرّح</w:t>
      </w:r>
      <w:r w:rsidR="00D30DFF">
        <w:rPr>
          <w:rFonts w:hint="cs"/>
          <w:rtl/>
          <w:lang w:bidi="ar-SA"/>
        </w:rPr>
        <w:t>ًا</w:t>
      </w:r>
      <w:r>
        <w:rPr>
          <w:rFonts w:hint="cs"/>
          <w:rtl/>
          <w:lang w:bidi="ar-SA"/>
        </w:rPr>
        <w:t xml:space="preserve"> له بالدخول إلى دار الملك في أورشليم بحرية (إشعياء 7: 3؛ 38: 1؛ 39: 3). لقد كان متزوجًا وكان له ابنان؛ اسم الواحد كان </w:t>
      </w:r>
      <w:proofErr w:type="spellStart"/>
      <w:r>
        <w:rPr>
          <w:rFonts w:hint="cs"/>
          <w:rtl/>
          <w:lang w:bidi="ar-SA"/>
        </w:rPr>
        <w:t>شآريشوب</w:t>
      </w:r>
      <w:proofErr w:type="spellEnd"/>
      <w:r>
        <w:rPr>
          <w:rFonts w:hint="cs"/>
          <w:rtl/>
          <w:lang w:bidi="ar-SA"/>
        </w:rPr>
        <w:t xml:space="preserve"> (بالعبرية "بقية تعود")، والآخر مهير شلال حاش باز (بالعبرية "غنيمة مسرعة ثروة آتية سريعًا").</w:t>
      </w:r>
    </w:p>
    <w:p w14:paraId="014995EC" w14:textId="64CB1FC3" w:rsidR="006F4312" w:rsidRDefault="006F4312">
      <w:pPr>
        <w:rPr>
          <w:rtl/>
          <w:lang w:bidi="ar-SA"/>
        </w:rPr>
      </w:pPr>
      <w:r>
        <w:rPr>
          <w:rFonts w:hint="cs"/>
          <w:rtl/>
          <w:lang w:bidi="ar-SA"/>
        </w:rPr>
        <w:t xml:space="preserve">نبوته موجّهة بشكل أساسي إلى مملكة السبطين يهوذا والتي عاصمتها أورشليم جنوبي أرض كنعان. شعب إسرائيل كان آنذاك منقسمًا منذ بداية حُكم رحبعام إلى مملكتين، ومملكة الأسباط العشرة في الشمال سُبيت بسبب عبادتها للأصنام في فترة "خدمة" إشعياء سنة 721 ق.م. في السبي الأشوري. </w:t>
      </w:r>
      <w:r w:rsidR="00DA5901">
        <w:rPr>
          <w:rFonts w:hint="cs"/>
          <w:rtl/>
          <w:lang w:bidi="ar-SA"/>
        </w:rPr>
        <w:t>ملوك</w:t>
      </w:r>
      <w:r>
        <w:rPr>
          <w:rFonts w:hint="cs"/>
          <w:rtl/>
          <w:lang w:bidi="ar-SA"/>
        </w:rPr>
        <w:t xml:space="preserve"> يهوذا </w:t>
      </w:r>
      <w:r w:rsidR="00DA5901">
        <w:rPr>
          <w:rFonts w:hint="cs"/>
          <w:rtl/>
          <w:lang w:bidi="ar-SA"/>
        </w:rPr>
        <w:t>الذين</w:t>
      </w:r>
      <w:r>
        <w:rPr>
          <w:rFonts w:hint="cs"/>
          <w:rtl/>
          <w:lang w:bidi="ar-SA"/>
        </w:rPr>
        <w:t xml:space="preserve"> أثناء حكمهم مارس إشعياء خدمته، كان</w:t>
      </w:r>
      <w:r w:rsidR="00DA5901">
        <w:rPr>
          <w:rFonts w:hint="cs"/>
          <w:rtl/>
          <w:lang w:bidi="ar-SA"/>
        </w:rPr>
        <w:t>و</w:t>
      </w:r>
      <w:r>
        <w:rPr>
          <w:rFonts w:hint="cs"/>
          <w:rtl/>
          <w:lang w:bidi="ar-SA"/>
        </w:rPr>
        <w:t xml:space="preserve">ا عزيا </w:t>
      </w:r>
      <w:r w:rsidR="00DA5901">
        <w:rPr>
          <w:rFonts w:hint="cs"/>
          <w:rtl/>
          <w:lang w:bidi="ar-SA"/>
        </w:rPr>
        <w:t xml:space="preserve">أو </w:t>
      </w:r>
      <w:r>
        <w:rPr>
          <w:rFonts w:hint="cs"/>
          <w:rtl/>
          <w:lang w:bidi="ar-SA"/>
        </w:rPr>
        <w:t xml:space="preserve">عزريا، الذي حكم </w:t>
      </w:r>
      <w:r w:rsidR="00DA5901">
        <w:rPr>
          <w:rFonts w:hint="cs"/>
          <w:rtl/>
          <w:lang w:bidi="ar-SA"/>
        </w:rPr>
        <w:t xml:space="preserve">تقريبًا ما بين 791 </w:t>
      </w:r>
      <w:r w:rsidR="00DA5901">
        <w:rPr>
          <w:rtl/>
          <w:lang w:bidi="ar-SA"/>
        </w:rPr>
        <w:t>–</w:t>
      </w:r>
      <w:r w:rsidR="00DA5901">
        <w:rPr>
          <w:rFonts w:hint="cs"/>
          <w:rtl/>
          <w:lang w:bidi="ar-SA"/>
        </w:rPr>
        <w:t xml:space="preserve"> 740 ق.م.، </w:t>
      </w:r>
      <w:proofErr w:type="spellStart"/>
      <w:r w:rsidR="00DA5901">
        <w:rPr>
          <w:rFonts w:hint="cs"/>
          <w:rtl/>
          <w:lang w:bidi="ar-SA"/>
        </w:rPr>
        <w:t>يوثام</w:t>
      </w:r>
      <w:proofErr w:type="spellEnd"/>
      <w:r w:rsidR="00DA5901">
        <w:rPr>
          <w:rFonts w:hint="cs"/>
          <w:rtl/>
          <w:lang w:bidi="ar-SA"/>
        </w:rPr>
        <w:t xml:space="preserve"> (تقريبًا 750 </w:t>
      </w:r>
      <w:r w:rsidR="00DA5901">
        <w:rPr>
          <w:rtl/>
          <w:lang w:bidi="ar-SA"/>
        </w:rPr>
        <w:t>–</w:t>
      </w:r>
      <w:r w:rsidR="00DA5901">
        <w:rPr>
          <w:rFonts w:hint="cs"/>
          <w:rtl/>
          <w:lang w:bidi="ar-SA"/>
        </w:rPr>
        <w:t xml:space="preserve"> 732 أو 751 </w:t>
      </w:r>
      <w:r w:rsidR="00DA5901">
        <w:rPr>
          <w:rtl/>
          <w:lang w:bidi="ar-SA"/>
        </w:rPr>
        <w:t>–</w:t>
      </w:r>
      <w:r w:rsidR="00DA5901">
        <w:rPr>
          <w:rFonts w:hint="cs"/>
          <w:rtl/>
          <w:lang w:bidi="ar-SA"/>
        </w:rPr>
        <w:t xml:space="preserve"> 735)، </w:t>
      </w:r>
      <w:proofErr w:type="spellStart"/>
      <w:r w:rsidR="00DA5901">
        <w:rPr>
          <w:rFonts w:hint="cs"/>
          <w:rtl/>
          <w:lang w:bidi="ar-SA"/>
        </w:rPr>
        <w:t>آحاز</w:t>
      </w:r>
      <w:proofErr w:type="spellEnd"/>
      <w:r w:rsidR="00DA5901">
        <w:rPr>
          <w:rFonts w:hint="cs"/>
          <w:rtl/>
          <w:lang w:bidi="ar-SA"/>
        </w:rPr>
        <w:t xml:space="preserve"> (تقريبًا 726 </w:t>
      </w:r>
      <w:r w:rsidR="00DA5901">
        <w:rPr>
          <w:rtl/>
          <w:lang w:bidi="ar-SA"/>
        </w:rPr>
        <w:t>–</w:t>
      </w:r>
      <w:r w:rsidR="00DA5901">
        <w:rPr>
          <w:rFonts w:hint="cs"/>
          <w:rtl/>
          <w:lang w:bidi="ar-SA"/>
        </w:rPr>
        <w:t xml:space="preserve"> 697 أو 716 </w:t>
      </w:r>
      <w:r w:rsidR="00DA5901">
        <w:rPr>
          <w:rtl/>
          <w:lang w:bidi="ar-SA"/>
        </w:rPr>
        <w:t>–</w:t>
      </w:r>
      <w:r w:rsidR="00DA5901">
        <w:rPr>
          <w:rFonts w:hint="cs"/>
          <w:rtl/>
          <w:lang w:bidi="ar-SA"/>
        </w:rPr>
        <w:t xml:space="preserve"> 687). جزء من فترات حكم هذه الملوك تتقاطع فيما بينها.</w:t>
      </w:r>
    </w:p>
    <w:p w14:paraId="7426129C" w14:textId="2B3B875C" w:rsidR="00DA5901" w:rsidRDefault="00DA5901">
      <w:pPr>
        <w:rPr>
          <w:rtl/>
          <w:lang w:bidi="ar-SA"/>
        </w:rPr>
      </w:pPr>
      <w:r>
        <w:rPr>
          <w:rFonts w:hint="cs"/>
          <w:rtl/>
          <w:lang w:bidi="ar-SA"/>
        </w:rPr>
        <w:t xml:space="preserve">صحيح أنه في مملكة يهوذا لم يكن الارتداد عن الله قد انتشر بقدر ما كان في إسرائيل، لأنه هنا كان لا زال يحكم ملوك أمناء مثل </w:t>
      </w:r>
      <w:proofErr w:type="spellStart"/>
      <w:r>
        <w:rPr>
          <w:rFonts w:hint="cs"/>
          <w:rtl/>
          <w:lang w:bidi="ar-SA"/>
        </w:rPr>
        <w:t>يهوشافاط</w:t>
      </w:r>
      <w:proofErr w:type="spellEnd"/>
      <w:r>
        <w:rPr>
          <w:rFonts w:hint="cs"/>
          <w:rtl/>
          <w:lang w:bidi="ar-SA"/>
        </w:rPr>
        <w:t xml:space="preserve">، </w:t>
      </w:r>
      <w:proofErr w:type="spellStart"/>
      <w:r>
        <w:rPr>
          <w:rFonts w:hint="cs"/>
          <w:rtl/>
          <w:lang w:bidi="ar-SA"/>
        </w:rPr>
        <w:t>يوثام</w:t>
      </w:r>
      <w:proofErr w:type="spellEnd"/>
      <w:r>
        <w:rPr>
          <w:rFonts w:hint="cs"/>
          <w:rtl/>
          <w:lang w:bidi="ar-SA"/>
        </w:rPr>
        <w:t xml:space="preserve"> </w:t>
      </w:r>
      <w:proofErr w:type="gramStart"/>
      <w:r>
        <w:rPr>
          <w:rFonts w:hint="cs"/>
          <w:rtl/>
          <w:lang w:bidi="ar-SA"/>
        </w:rPr>
        <w:t>وحزقيا</w:t>
      </w:r>
      <w:proofErr w:type="gramEnd"/>
      <w:r>
        <w:rPr>
          <w:rFonts w:hint="cs"/>
          <w:rtl/>
          <w:lang w:bidi="ar-SA"/>
        </w:rPr>
        <w:t xml:space="preserve"> ولكن كان هنالك أيضًا الكثير من الشر. عزيا تصرف بعدم أمانة في مستوى رفعته مع الله، </w:t>
      </w:r>
      <w:proofErr w:type="spellStart"/>
      <w:r>
        <w:rPr>
          <w:rFonts w:hint="cs"/>
          <w:rtl/>
          <w:lang w:bidi="ar-SA"/>
        </w:rPr>
        <w:t>وآحاز</w:t>
      </w:r>
      <w:proofErr w:type="spellEnd"/>
      <w:r>
        <w:rPr>
          <w:rFonts w:hint="cs"/>
          <w:rtl/>
          <w:lang w:bidi="ar-SA"/>
        </w:rPr>
        <w:t xml:space="preserve"> ذهب وراء عبادة الأصنام كملوك إسرائيل. </w:t>
      </w:r>
      <w:r w:rsidR="00FB2375">
        <w:rPr>
          <w:rFonts w:hint="cs"/>
          <w:rtl/>
          <w:lang w:bidi="ar-SA"/>
        </w:rPr>
        <w:t xml:space="preserve">إشعياء عاش وعمل أيضًا في زمن عصيب. من الخارج حوصرت مملكة يهوذا على يد أدوم، سوريا والفلسطينيون. كذلك ملوك مملكة الشمال الأشرار تحالفوا مع سوريا وقاموا بهجومات مترددة على يهوذا (2. ملوك 15: 37؛ 16: 5 </w:t>
      </w:r>
      <w:r w:rsidR="00FB2375">
        <w:rPr>
          <w:rtl/>
          <w:lang w:bidi="ar-SA"/>
        </w:rPr>
        <w:t>–</w:t>
      </w:r>
      <w:r w:rsidR="00FB2375">
        <w:rPr>
          <w:rFonts w:hint="cs"/>
          <w:rtl/>
          <w:lang w:bidi="ar-SA"/>
        </w:rPr>
        <w:t xml:space="preserve"> 6؛ 2. أخبار الأيام 28: 5 </w:t>
      </w:r>
      <w:r w:rsidR="00FB2375">
        <w:rPr>
          <w:rtl/>
          <w:lang w:bidi="ar-SA"/>
        </w:rPr>
        <w:t>–</w:t>
      </w:r>
      <w:r w:rsidR="00FB2375">
        <w:rPr>
          <w:rFonts w:hint="cs"/>
          <w:rtl/>
          <w:lang w:bidi="ar-SA"/>
        </w:rPr>
        <w:t xml:space="preserve"> 6). بدلاً من أن يثقوا بالرب </w:t>
      </w:r>
      <w:r w:rsidR="005A18C4">
        <w:rPr>
          <w:rFonts w:hint="cs"/>
          <w:rtl/>
          <w:lang w:bidi="ar-SA"/>
        </w:rPr>
        <w:t>طلب ملوك يهوذا دعمًا من أشور (2. ملوك 16: 7؛ 2. أخبار الأيام 28: 16)، دون أن يحصلوا فعلاً على مساعدة</w:t>
      </w:r>
      <w:r w:rsidR="00FB2375">
        <w:rPr>
          <w:rFonts w:hint="cs"/>
          <w:rtl/>
          <w:lang w:bidi="ar-SA"/>
        </w:rPr>
        <w:t xml:space="preserve"> </w:t>
      </w:r>
      <w:r w:rsidR="005A18C4">
        <w:rPr>
          <w:rFonts w:hint="cs"/>
          <w:rtl/>
          <w:lang w:bidi="ar-SA"/>
        </w:rPr>
        <w:t>(2. أخبار الأيام 28: 20؛ 31: 1). لقد اختبر إشعياء كيف تحالفت مملكة الشمال مع مصر ضد أشور ومع ذلك أخيرًا انهزمت وسُبيت عام 721 ق.م. في السبي الأشوري.</w:t>
      </w:r>
    </w:p>
    <w:p w14:paraId="2870B4C1" w14:textId="77777777" w:rsidR="00731099" w:rsidRDefault="005A18C4">
      <w:pPr>
        <w:rPr>
          <w:rtl/>
          <w:lang w:bidi="ar-SA"/>
        </w:rPr>
      </w:pPr>
      <w:r>
        <w:rPr>
          <w:rFonts w:hint="cs"/>
          <w:rtl/>
          <w:lang w:bidi="ar-SA"/>
        </w:rPr>
        <w:t>حينما هُددت يهوذا في حُكم حزقيا من سلطة أشور العظمى أنجدهم الرب (2. ملوك 18: 17؛ 2. أخبار الأيام 32). لكن من بعد ذلك بوقت قصير كان على إشعياء أن يحكم على الائتلاف الآخر مع سلطة بابل العظمى وينبئ بسبي السبطين يهوذا الذي قد حدث لاحقًا بمئة عام تقريبًا من بعد السبي البابلي</w:t>
      </w:r>
      <w:r w:rsidR="00731099">
        <w:rPr>
          <w:rFonts w:hint="cs"/>
          <w:rtl/>
          <w:lang w:bidi="ar-SA"/>
        </w:rPr>
        <w:t xml:space="preserve"> (2. ملوك 18: 7؛ 20: 12 </w:t>
      </w:r>
      <w:r w:rsidR="00731099">
        <w:rPr>
          <w:rtl/>
          <w:lang w:bidi="ar-SA"/>
        </w:rPr>
        <w:t>–</w:t>
      </w:r>
      <w:r w:rsidR="00731099">
        <w:rPr>
          <w:rFonts w:hint="cs"/>
          <w:rtl/>
          <w:lang w:bidi="ar-SA"/>
        </w:rPr>
        <w:t xml:space="preserve"> 19).</w:t>
      </w:r>
    </w:p>
    <w:p w14:paraId="733FE221" w14:textId="77777777" w:rsidR="00731099" w:rsidRDefault="00731099">
      <w:pPr>
        <w:rPr>
          <w:rtl/>
          <w:lang w:bidi="ar-SA"/>
        </w:rPr>
      </w:pPr>
      <w:r>
        <w:rPr>
          <w:rFonts w:hint="cs"/>
          <w:rtl/>
          <w:lang w:bidi="ar-SA"/>
        </w:rPr>
        <w:t>عن تفسير سفر إشعياء</w:t>
      </w:r>
    </w:p>
    <w:p w14:paraId="00BDC74C" w14:textId="514DFF1D" w:rsidR="005A18C4" w:rsidRDefault="00731099">
      <w:pPr>
        <w:rPr>
          <w:rtl/>
          <w:lang w:bidi="ar-SA"/>
        </w:rPr>
      </w:pPr>
      <w:r>
        <w:rPr>
          <w:rFonts w:hint="cs"/>
          <w:rtl/>
          <w:lang w:bidi="ar-SA"/>
        </w:rPr>
        <w:t>من المواضيع الرئيسية في نبوات إشعياء هي شعب الله الأرضي، قوات أشور العظمى في ذلك الحين، بابل ومصر لكن وأيضًا شعوب المنطقة الأصغر منها.</w:t>
      </w:r>
    </w:p>
    <w:p w14:paraId="07A462B6" w14:textId="5886CD45" w:rsidR="006E3EEF" w:rsidRDefault="00731099" w:rsidP="006E3EEF">
      <w:pPr>
        <w:rPr>
          <w:lang w:bidi="ar-SA"/>
        </w:rPr>
      </w:pPr>
      <w:r>
        <w:rPr>
          <w:rFonts w:hint="cs"/>
          <w:rtl/>
          <w:lang w:bidi="ar-SA"/>
        </w:rPr>
        <w:t xml:space="preserve">غير أن مضمون نبوة إشعياء وإطارها لم </w:t>
      </w:r>
      <w:proofErr w:type="gramStart"/>
      <w:r>
        <w:rPr>
          <w:rFonts w:hint="cs"/>
          <w:rtl/>
          <w:lang w:bidi="ar-SA"/>
        </w:rPr>
        <w:t>ينتهي</w:t>
      </w:r>
      <w:proofErr w:type="gramEnd"/>
      <w:r>
        <w:rPr>
          <w:rFonts w:hint="cs"/>
          <w:rtl/>
          <w:lang w:bidi="ar-SA"/>
        </w:rPr>
        <w:t xml:space="preserve"> بهذا أبدًا. موضوعها الرئيسي هو </w:t>
      </w:r>
      <w:proofErr w:type="spellStart"/>
      <w:r>
        <w:rPr>
          <w:rFonts w:hint="cs"/>
          <w:rtl/>
          <w:lang w:bidi="ar-SA"/>
        </w:rPr>
        <w:t>المسيا</w:t>
      </w:r>
      <w:proofErr w:type="spellEnd"/>
      <w:r>
        <w:rPr>
          <w:rFonts w:hint="cs"/>
          <w:rtl/>
          <w:lang w:bidi="ar-SA"/>
        </w:rPr>
        <w:t xml:space="preserve">، ملك إسرائيل الذي أرسله الله، نعم، لكل العالم، الرب يسوع المسيح. إشعياء يذكر ميلاده من </w:t>
      </w:r>
      <w:proofErr w:type="spellStart"/>
      <w:r>
        <w:rPr>
          <w:rFonts w:hint="cs"/>
          <w:rtl/>
          <w:lang w:bidi="ar-SA"/>
        </w:rPr>
        <w:t>عذارء</w:t>
      </w:r>
      <w:proofErr w:type="spellEnd"/>
      <w:r>
        <w:rPr>
          <w:rFonts w:hint="cs"/>
          <w:rtl/>
          <w:lang w:bidi="ar-SA"/>
        </w:rPr>
        <w:t xml:space="preserve"> (إصحاح 7: 14)، الحقيقة بأنه ابن الله (إصحاح 9: 5)، آلامه وموته لأناس خطاة هالكين (إصحاح 53)، ظهوره للدينونة</w:t>
      </w:r>
      <w:r w:rsidR="00A45B6E">
        <w:rPr>
          <w:rFonts w:hint="cs"/>
          <w:rtl/>
          <w:lang w:bidi="ar-SA"/>
        </w:rPr>
        <w:t xml:space="preserve"> في "يوم الرب" (إصحاح 13: 6، 9)، ولكن قبل كل شيء حكمه المبارك في المُلك الألفي (اصحاح 9: 1- 7؛ 11: 1 </w:t>
      </w:r>
      <w:r w:rsidR="00A45B6E">
        <w:rPr>
          <w:rtl/>
          <w:lang w:bidi="ar-SA"/>
        </w:rPr>
        <w:t>–</w:t>
      </w:r>
      <w:r w:rsidR="00A45B6E">
        <w:rPr>
          <w:rFonts w:hint="cs"/>
          <w:rtl/>
          <w:lang w:bidi="ar-SA"/>
        </w:rPr>
        <w:t xml:space="preserve"> 10؛ 31: 1 إلخ). </w:t>
      </w:r>
      <w:r w:rsidR="00BE76EA">
        <w:rPr>
          <w:rFonts w:hint="cs"/>
          <w:rtl/>
          <w:lang w:bidi="ar-SA"/>
        </w:rPr>
        <w:t xml:space="preserve">الرب يسوع بنفسه يقول بأن الكتب تشهد له، وبطرس يؤكد بأن أنبياء العهد القديم </w:t>
      </w:r>
      <w:r w:rsidR="006E3EEF">
        <w:rPr>
          <w:rFonts w:hint="cs"/>
          <w:rtl/>
          <w:lang w:bidi="ar-SA"/>
        </w:rPr>
        <w:t xml:space="preserve">يشهدون بالروح القدس عن آلام المسيح وأمجاده (يوحنا 5: 39؛ 1. بطرس 10، 11). فالمسيح إذًا هو الموضوع الرئيسي لنبوة </w:t>
      </w:r>
      <w:hyperlink r:id="rId4" w:anchor=":~:text=Daraus%20ergibt%20sich%2C%20dass%20diese%20Prophezeiungen%20nicht" w:history="1">
        <w:r w:rsidR="006E3EEF" w:rsidRPr="006E3EEF">
          <w:rPr>
            <w:rStyle w:val="Hyperlink"/>
            <w:rFonts w:hint="cs"/>
            <w:rtl/>
            <w:lang w:bidi="ar-SA"/>
          </w:rPr>
          <w:t>إشعياء</w:t>
        </w:r>
      </w:hyperlink>
      <w:r w:rsidR="006E3EEF">
        <w:rPr>
          <w:rFonts w:hint="cs"/>
          <w:rtl/>
          <w:lang w:bidi="ar-SA"/>
        </w:rPr>
        <w:t>.</w:t>
      </w:r>
    </w:p>
    <w:sectPr w:rsidR="006E3EE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6F4"/>
    <w:rsid w:val="002E56F4"/>
    <w:rsid w:val="005A18C4"/>
    <w:rsid w:val="006E3EEF"/>
    <w:rsid w:val="006F4312"/>
    <w:rsid w:val="00731099"/>
    <w:rsid w:val="008E0EC1"/>
    <w:rsid w:val="00A45B6E"/>
    <w:rsid w:val="00AF6FE2"/>
    <w:rsid w:val="00BE76EA"/>
    <w:rsid w:val="00D30DFF"/>
    <w:rsid w:val="00DA5901"/>
    <w:rsid w:val="00F73C1A"/>
    <w:rsid w:val="00FB2375"/>
    <w:rsid w:val="00FB65E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B8B9C"/>
  <w15:chartTrackingRefBased/>
  <w15:docId w15:val="{F830251C-72CE-4446-85B7-F5D395364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F4312"/>
    <w:rPr>
      <w:color w:val="0563C1" w:themeColor="hyperlink"/>
      <w:u w:val="single"/>
    </w:rPr>
  </w:style>
  <w:style w:type="character" w:styleId="UnresolvedMention">
    <w:name w:val="Unresolved Mention"/>
    <w:basedOn w:val="DefaultParagraphFont"/>
    <w:uiPriority w:val="99"/>
    <w:semiHidden/>
    <w:unhideWhenUsed/>
    <w:rsid w:val="006F43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103/der-herr-ist-rettu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437</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Osama Slaieh</cp:lastModifiedBy>
  <cp:revision>8</cp:revision>
  <dcterms:created xsi:type="dcterms:W3CDTF">2023-10-23T10:50:00Z</dcterms:created>
  <dcterms:modified xsi:type="dcterms:W3CDTF">2026-06-30T20:02:00Z</dcterms:modified>
</cp:coreProperties>
</file>