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91A78" w14:textId="3D795A68" w:rsidR="005154F5" w:rsidRDefault="00230E29">
      <w:pPr>
        <w:rPr>
          <w:rtl/>
        </w:rPr>
      </w:pPr>
      <w:r>
        <w:rPr>
          <w:rtl/>
        </w:rPr>
        <w:fldChar w:fldCharType="begin"/>
      </w:r>
      <w:r>
        <w:instrText>HYPERLINK</w:instrText>
      </w:r>
      <w:r>
        <w:rPr>
          <w:rtl/>
        </w:rPr>
        <w:instrText xml:space="preserve"> "</w:instrText>
      </w:r>
      <w:r>
        <w:instrText>https://www.bibelkommentare.de/kommentare/989/der-prophet-hesekiel</w:instrText>
      </w:r>
      <w:r>
        <w:rPr>
          <w:rtl/>
        </w:rPr>
        <w:instrText>"</w:instrText>
      </w:r>
      <w:r>
        <w:rPr>
          <w:rtl/>
        </w:rPr>
      </w:r>
      <w:r>
        <w:rPr>
          <w:rtl/>
        </w:rPr>
        <w:fldChar w:fldCharType="separate"/>
      </w:r>
      <w:r w:rsidRPr="00230E29">
        <w:rPr>
          <w:rStyle w:val="Hyperlink"/>
          <w:rtl/>
        </w:rPr>
        <w:t>حزقيال النبي</w:t>
      </w:r>
      <w:r>
        <w:rPr>
          <w:rtl/>
        </w:rPr>
        <w:fldChar w:fldCharType="end"/>
      </w:r>
    </w:p>
    <w:p w14:paraId="4D98A291" w14:textId="28B4CA22" w:rsidR="00230E29" w:rsidRDefault="00230E29" w:rsidP="00230E29">
      <w:pPr>
        <w:bidi w:val="0"/>
      </w:pPr>
      <w:r w:rsidRPr="00230E29">
        <w:t>Arno Clemens Gaebelein</w:t>
      </w:r>
    </w:p>
    <w:p w14:paraId="117E821F" w14:textId="4F0C167E" w:rsidR="00230E29" w:rsidRDefault="00230E29">
      <w:pPr>
        <w:rPr>
          <w:rtl/>
        </w:rPr>
      </w:pPr>
      <w:r>
        <w:rPr>
          <w:rFonts w:hint="cs"/>
          <w:rtl/>
        </w:rPr>
        <w:t>ملاحظات حول هذه الترجمة الألمانية</w:t>
      </w:r>
    </w:p>
    <w:p w14:paraId="26DF1095" w14:textId="77777777" w:rsidR="008850F0" w:rsidRDefault="00230E29" w:rsidP="00230E29">
      <w:pPr>
        <w:jc w:val="both"/>
        <w:rPr>
          <w:rtl/>
        </w:rPr>
        <w:sectPr w:rsidR="008850F0" w:rsidSect="005154F5">
          <w:pgSz w:w="11906" w:h="16838"/>
          <w:pgMar w:top="1440" w:right="1800" w:bottom="1440" w:left="1800" w:header="708" w:footer="708" w:gutter="0"/>
          <w:cols w:space="708"/>
          <w:bidi/>
          <w:rtlGutter/>
          <w:docGrid w:linePitch="360"/>
        </w:sectPr>
      </w:pPr>
      <w:r w:rsidRPr="00230E29">
        <w:rPr>
          <w:rtl/>
        </w:rPr>
        <w:t>ونظرًا لأن النسخة الإنجليزية الأصلية من الدراسة، والتي نُشرت بعد وفاته في عام 1972، لم تتم طباعتها لعدة عقود، وبالتالي فهي بالكاد متاحة في السوق المفتوحة، فقد تم نشر طبعة تحتوي على نسخ ممسوحة ضوئيًا مجمعة للكتاب قبل بضع سنوات من قبل "</w:t>
      </w:r>
      <w:r w:rsidRPr="00230E29">
        <w:t>Scholars' Facsimiles &amp; Reprints</w:t>
      </w:r>
      <w:r w:rsidRPr="00230E29">
        <w:rPr>
          <w:rtl/>
        </w:rPr>
        <w:t>"، وهو ناشر أمريكي لإعادة الطبع.</w:t>
      </w:r>
      <w:r>
        <w:rPr>
          <w:rFonts w:hint="cs"/>
          <w:rtl/>
        </w:rPr>
        <w:t xml:space="preserve"> (</w:t>
      </w:r>
      <w:r w:rsidRPr="00230E29">
        <w:rPr>
          <w:rtl/>
        </w:rPr>
        <w:t>منذ وفاة المؤلف في عام 1945، انتهى قانون حق المؤلف (</w:t>
      </w:r>
      <w:proofErr w:type="spellStart"/>
      <w:r w:rsidRPr="00230E29">
        <w:t>UrhG</w:t>
      </w:r>
      <w:proofErr w:type="spellEnd"/>
      <w:r w:rsidRPr="00230E29">
        <w:rPr>
          <w:rtl/>
        </w:rPr>
        <w:t xml:space="preserve">) في عام 2015 وفقًا للفقرات من 64 إلى 69 </w:t>
      </w:r>
      <w:proofErr w:type="spellStart"/>
      <w:r w:rsidRPr="00230E29">
        <w:t>UrhG</w:t>
      </w:r>
      <w:proofErr w:type="spellEnd"/>
      <w:r w:rsidRPr="00230E29">
        <w:rPr>
          <w:rtl/>
        </w:rPr>
        <w:t>.</w:t>
      </w:r>
      <w:r>
        <w:rPr>
          <w:rFonts w:hint="cs"/>
          <w:rtl/>
        </w:rPr>
        <w:t>)</w:t>
      </w:r>
    </w:p>
    <w:p w14:paraId="12B28781" w14:textId="13D32CFE" w:rsidR="00230E29" w:rsidRDefault="008850F0" w:rsidP="00230E29">
      <w:pPr>
        <w:jc w:val="both"/>
        <w:rPr>
          <w:rtl/>
        </w:rPr>
      </w:pPr>
      <w:hyperlink r:id="rId8" w:history="1">
        <w:r w:rsidRPr="008850F0">
          <w:rPr>
            <w:rStyle w:val="Hyperlink"/>
            <w:rtl/>
          </w:rPr>
          <w:t>رؤيا مجد الرب ودعوة النبي</w:t>
        </w:r>
      </w:hyperlink>
      <w:r>
        <w:rPr>
          <w:rFonts w:hint="cs"/>
          <w:rtl/>
        </w:rPr>
        <w:t xml:space="preserve"> (1: 1 </w:t>
      </w:r>
      <w:r>
        <w:rPr>
          <w:rtl/>
        </w:rPr>
        <w:t>–</w:t>
      </w:r>
      <w:r>
        <w:rPr>
          <w:rFonts w:hint="cs"/>
          <w:rtl/>
        </w:rPr>
        <w:t xml:space="preserve"> 3، 14)</w:t>
      </w:r>
    </w:p>
    <w:p w14:paraId="65EE0B11" w14:textId="5DCEADDB" w:rsidR="008850F0" w:rsidRDefault="008850F0" w:rsidP="00230E29">
      <w:pPr>
        <w:jc w:val="both"/>
        <w:rPr>
          <w:rtl/>
        </w:rPr>
      </w:pPr>
      <w:r>
        <w:rPr>
          <w:rFonts w:hint="cs"/>
          <w:rtl/>
        </w:rPr>
        <w:t>"</w:t>
      </w:r>
      <w:r w:rsidRPr="008850F0">
        <w:rPr>
          <w:rFonts w:ascii="Tahoma" w:hAnsi="Tahoma" w:cs="Tahoma"/>
        </w:rPr>
        <w:t>﻿</w:t>
      </w:r>
      <w:r w:rsidRPr="008850F0">
        <w:rPr>
          <w:rtl/>
        </w:rPr>
        <w:t xml:space="preserve"> </w:t>
      </w:r>
      <w:r w:rsidRPr="008850F0">
        <w:rPr>
          <w:rFonts w:ascii="Tahoma" w:hAnsi="Tahoma" w:cs="Tahoma" w:hint="cs"/>
          <w:rtl/>
        </w:rPr>
        <w:t>﻿</w:t>
      </w:r>
      <w:r w:rsidRPr="008850F0">
        <w:rPr>
          <w:rFonts w:hint="cs"/>
          <w:rtl/>
        </w:rPr>
        <w:t>كَانَ</w:t>
      </w:r>
      <w:r w:rsidRPr="008850F0">
        <w:rPr>
          <w:rtl/>
        </w:rPr>
        <w:t xml:space="preserve"> </w:t>
      </w:r>
      <w:r w:rsidRPr="008850F0">
        <w:rPr>
          <w:rFonts w:hint="cs"/>
          <w:rtl/>
        </w:rPr>
        <w:t>فِي</w:t>
      </w:r>
      <w:r w:rsidRPr="008850F0">
        <w:rPr>
          <w:rtl/>
        </w:rPr>
        <w:t xml:space="preserve"> </w:t>
      </w:r>
      <w:r w:rsidRPr="008850F0">
        <w:rPr>
          <w:rFonts w:hint="cs"/>
          <w:rtl/>
        </w:rPr>
        <w:t>سَنَةِ</w:t>
      </w:r>
      <w:r w:rsidRPr="008850F0">
        <w:rPr>
          <w:rtl/>
        </w:rPr>
        <w:t xml:space="preserve"> </w:t>
      </w:r>
      <w:r w:rsidRPr="008850F0">
        <w:rPr>
          <w:rFonts w:hint="cs"/>
          <w:rtl/>
        </w:rPr>
        <w:t>الثَّلاَثِينَ،</w:t>
      </w:r>
      <w:r w:rsidRPr="008850F0">
        <w:rPr>
          <w:rtl/>
        </w:rPr>
        <w:t xml:space="preserve"> </w:t>
      </w:r>
      <w:r w:rsidRPr="008850F0">
        <w:rPr>
          <w:rFonts w:hint="cs"/>
          <w:rtl/>
        </w:rPr>
        <w:t>فِي</w:t>
      </w:r>
      <w:r w:rsidRPr="008850F0">
        <w:rPr>
          <w:rtl/>
        </w:rPr>
        <w:t xml:space="preserve"> </w:t>
      </w:r>
      <w:r w:rsidRPr="008850F0">
        <w:rPr>
          <w:rFonts w:hint="cs"/>
          <w:rtl/>
        </w:rPr>
        <w:t>الشَّهْرِ</w:t>
      </w:r>
      <w:r w:rsidRPr="008850F0">
        <w:rPr>
          <w:rtl/>
        </w:rPr>
        <w:t xml:space="preserve"> </w:t>
      </w:r>
      <w:proofErr w:type="spellStart"/>
      <w:r w:rsidRPr="008850F0">
        <w:rPr>
          <w:rFonts w:hint="cs"/>
          <w:rtl/>
        </w:rPr>
        <w:t>الرَّابعِ،فِي</w:t>
      </w:r>
      <w:proofErr w:type="spellEnd"/>
      <w:r w:rsidRPr="008850F0">
        <w:rPr>
          <w:rtl/>
        </w:rPr>
        <w:t xml:space="preserve"> </w:t>
      </w:r>
      <w:r w:rsidRPr="008850F0">
        <w:rPr>
          <w:rFonts w:hint="cs"/>
          <w:rtl/>
        </w:rPr>
        <w:t>الْخَامِسِ</w:t>
      </w:r>
      <w:r w:rsidRPr="008850F0">
        <w:rPr>
          <w:rtl/>
        </w:rPr>
        <w:t xml:space="preserve"> </w:t>
      </w:r>
      <w:r w:rsidRPr="008850F0">
        <w:rPr>
          <w:rFonts w:hint="cs"/>
          <w:rtl/>
        </w:rPr>
        <w:t>مِنَ</w:t>
      </w:r>
      <w:r w:rsidRPr="008850F0">
        <w:rPr>
          <w:rtl/>
        </w:rPr>
        <w:t xml:space="preserve"> </w:t>
      </w:r>
      <w:r w:rsidRPr="008850F0">
        <w:rPr>
          <w:rFonts w:hint="cs"/>
          <w:rtl/>
        </w:rPr>
        <w:t>الشَّهْرِ،</w:t>
      </w:r>
      <w:r w:rsidRPr="008850F0">
        <w:rPr>
          <w:rtl/>
        </w:rPr>
        <w:t xml:space="preserve"> </w:t>
      </w:r>
      <w:r w:rsidRPr="008850F0">
        <w:rPr>
          <w:rFonts w:hint="cs"/>
          <w:rtl/>
        </w:rPr>
        <w:t>وَأَنَا</w:t>
      </w:r>
      <w:r w:rsidRPr="008850F0">
        <w:rPr>
          <w:rtl/>
        </w:rPr>
        <w:t xml:space="preserve"> </w:t>
      </w:r>
      <w:r w:rsidRPr="008850F0">
        <w:rPr>
          <w:rFonts w:hint="cs"/>
          <w:rtl/>
        </w:rPr>
        <w:t>بَيْنَ</w:t>
      </w:r>
      <w:r w:rsidRPr="008850F0">
        <w:rPr>
          <w:rtl/>
        </w:rPr>
        <w:t xml:space="preserve"> </w:t>
      </w:r>
      <w:proofErr w:type="spellStart"/>
      <w:r w:rsidRPr="008850F0">
        <w:rPr>
          <w:rFonts w:hint="cs"/>
          <w:rtl/>
        </w:rPr>
        <w:t>الْمَسْبِيِّينَ</w:t>
      </w:r>
      <w:proofErr w:type="spellEnd"/>
      <w:r w:rsidRPr="008850F0">
        <w:rPr>
          <w:rtl/>
        </w:rPr>
        <w:t xml:space="preserve"> </w:t>
      </w:r>
      <w:r w:rsidRPr="008850F0">
        <w:rPr>
          <w:rFonts w:hint="cs"/>
          <w:rtl/>
        </w:rPr>
        <w:t>عِنْدَ</w:t>
      </w:r>
      <w:r w:rsidRPr="008850F0">
        <w:rPr>
          <w:rtl/>
        </w:rPr>
        <w:t xml:space="preserve"> </w:t>
      </w:r>
      <w:r w:rsidRPr="008850F0">
        <w:rPr>
          <w:rFonts w:hint="cs"/>
          <w:rtl/>
        </w:rPr>
        <w:t>نَهْرِ</w:t>
      </w:r>
      <w:r w:rsidRPr="008850F0">
        <w:rPr>
          <w:rtl/>
        </w:rPr>
        <w:t xml:space="preserve"> </w:t>
      </w:r>
      <w:r w:rsidRPr="008850F0">
        <w:rPr>
          <w:rFonts w:hint="cs"/>
          <w:rtl/>
        </w:rPr>
        <w:t>خَابُورَ،</w:t>
      </w:r>
      <w:r w:rsidRPr="008850F0">
        <w:rPr>
          <w:rtl/>
        </w:rPr>
        <w:t xml:space="preserve"> </w:t>
      </w:r>
      <w:r w:rsidRPr="008850F0">
        <w:rPr>
          <w:rFonts w:hint="cs"/>
          <w:rtl/>
        </w:rPr>
        <w:t>أَنَّ</w:t>
      </w:r>
      <w:r w:rsidRPr="008850F0">
        <w:rPr>
          <w:rtl/>
        </w:rPr>
        <w:t xml:space="preserve"> </w:t>
      </w:r>
      <w:r w:rsidRPr="008850F0">
        <w:rPr>
          <w:rFonts w:hint="cs"/>
          <w:rtl/>
        </w:rPr>
        <w:t>السَّمَاوَاتِ</w:t>
      </w:r>
      <w:r w:rsidRPr="008850F0">
        <w:rPr>
          <w:rtl/>
        </w:rPr>
        <w:t xml:space="preserve"> </w:t>
      </w:r>
      <w:r w:rsidRPr="008850F0">
        <w:rPr>
          <w:rFonts w:hint="cs"/>
          <w:rtl/>
        </w:rPr>
        <w:t>انْفَتَحَتْ،</w:t>
      </w:r>
      <w:r w:rsidRPr="008850F0">
        <w:rPr>
          <w:rtl/>
        </w:rPr>
        <w:t xml:space="preserve"> </w:t>
      </w:r>
      <w:r w:rsidRPr="008850F0">
        <w:rPr>
          <w:rFonts w:hint="cs"/>
          <w:rtl/>
        </w:rPr>
        <w:t>فَرَأَيْتُ</w:t>
      </w:r>
      <w:r w:rsidRPr="008850F0">
        <w:rPr>
          <w:rtl/>
        </w:rPr>
        <w:t xml:space="preserve"> </w:t>
      </w:r>
      <w:r w:rsidRPr="008850F0">
        <w:rPr>
          <w:rFonts w:hint="cs"/>
          <w:rtl/>
        </w:rPr>
        <w:t>رُؤَى</w:t>
      </w:r>
      <w:r w:rsidRPr="008850F0">
        <w:rPr>
          <w:rtl/>
        </w:rPr>
        <w:t xml:space="preserve"> </w:t>
      </w:r>
      <w:r w:rsidRPr="008850F0">
        <w:rPr>
          <w:rFonts w:hint="cs"/>
          <w:rtl/>
        </w:rPr>
        <w:t>اللهِ</w:t>
      </w:r>
      <w:r w:rsidRPr="008850F0">
        <w:rPr>
          <w:rtl/>
        </w:rPr>
        <w:t xml:space="preserve">.  </w:t>
      </w:r>
      <w:r w:rsidRPr="008850F0">
        <w:rPr>
          <w:rFonts w:ascii="Tahoma" w:hAnsi="Tahoma" w:cs="Tahoma" w:hint="cs"/>
          <w:rtl/>
        </w:rPr>
        <w:t>﻿</w:t>
      </w:r>
      <w:r w:rsidRPr="008850F0">
        <w:rPr>
          <w:rtl/>
        </w:rPr>
        <w:t>2</w:t>
      </w:r>
      <w:r w:rsidRPr="008850F0">
        <w:rPr>
          <w:rFonts w:ascii="Tahoma" w:hAnsi="Tahoma" w:cs="Tahoma" w:hint="cs"/>
          <w:rtl/>
        </w:rPr>
        <w:t>﻿</w:t>
      </w:r>
      <w:r w:rsidRPr="008850F0">
        <w:rPr>
          <w:rtl/>
        </w:rPr>
        <w:t xml:space="preserve"> </w:t>
      </w:r>
      <w:r w:rsidRPr="008850F0">
        <w:rPr>
          <w:rFonts w:ascii="Tahoma" w:hAnsi="Tahoma" w:cs="Tahoma" w:hint="cs"/>
          <w:rtl/>
        </w:rPr>
        <w:t>﻿</w:t>
      </w:r>
      <w:r w:rsidRPr="008850F0">
        <w:rPr>
          <w:rFonts w:hint="cs"/>
          <w:rtl/>
        </w:rPr>
        <w:t>فِي</w:t>
      </w:r>
      <w:r w:rsidRPr="008850F0">
        <w:rPr>
          <w:rtl/>
        </w:rPr>
        <w:t xml:space="preserve"> </w:t>
      </w:r>
      <w:r w:rsidRPr="008850F0">
        <w:rPr>
          <w:rFonts w:hint="cs"/>
          <w:rtl/>
        </w:rPr>
        <w:t>الْخَامِسِ</w:t>
      </w:r>
      <w:r w:rsidRPr="008850F0">
        <w:rPr>
          <w:rtl/>
        </w:rPr>
        <w:t xml:space="preserve"> </w:t>
      </w:r>
      <w:r w:rsidRPr="008850F0">
        <w:rPr>
          <w:rFonts w:hint="cs"/>
          <w:rtl/>
        </w:rPr>
        <w:t>مِنَ</w:t>
      </w:r>
      <w:r w:rsidRPr="008850F0">
        <w:rPr>
          <w:rtl/>
        </w:rPr>
        <w:t xml:space="preserve"> </w:t>
      </w:r>
      <w:r w:rsidRPr="008850F0">
        <w:rPr>
          <w:rFonts w:hint="cs"/>
          <w:rtl/>
        </w:rPr>
        <w:t>الشَّهْرِ،</w:t>
      </w:r>
      <w:r w:rsidRPr="008850F0">
        <w:rPr>
          <w:rtl/>
        </w:rPr>
        <w:t xml:space="preserve"> </w:t>
      </w:r>
      <w:r w:rsidRPr="008850F0">
        <w:rPr>
          <w:rFonts w:hint="cs"/>
          <w:rtl/>
        </w:rPr>
        <w:t>وَهِيَ</w:t>
      </w:r>
      <w:r w:rsidRPr="008850F0">
        <w:rPr>
          <w:rtl/>
        </w:rPr>
        <w:t xml:space="preserve"> </w:t>
      </w:r>
      <w:r w:rsidRPr="008850F0">
        <w:rPr>
          <w:rFonts w:hint="cs"/>
          <w:rtl/>
        </w:rPr>
        <w:t>السَّنَةُ</w:t>
      </w:r>
      <w:r w:rsidRPr="008850F0">
        <w:rPr>
          <w:rtl/>
        </w:rPr>
        <w:t xml:space="preserve"> </w:t>
      </w:r>
      <w:r w:rsidRPr="008850F0">
        <w:rPr>
          <w:rFonts w:hint="cs"/>
          <w:rtl/>
        </w:rPr>
        <w:t>الْخَامِسَةُ</w:t>
      </w:r>
      <w:r w:rsidRPr="008850F0">
        <w:rPr>
          <w:rtl/>
        </w:rPr>
        <w:t xml:space="preserve"> </w:t>
      </w:r>
      <w:r w:rsidRPr="008850F0">
        <w:rPr>
          <w:rFonts w:hint="cs"/>
          <w:rtl/>
        </w:rPr>
        <w:t>مِنْ</w:t>
      </w:r>
      <w:r w:rsidRPr="008850F0">
        <w:rPr>
          <w:rtl/>
        </w:rPr>
        <w:t xml:space="preserve"> </w:t>
      </w:r>
      <w:r w:rsidRPr="008850F0">
        <w:rPr>
          <w:rFonts w:hint="cs"/>
          <w:rtl/>
        </w:rPr>
        <w:t>سَبْيِ</w:t>
      </w:r>
      <w:r w:rsidRPr="008850F0">
        <w:rPr>
          <w:rtl/>
        </w:rPr>
        <w:t xml:space="preserve"> </w:t>
      </w:r>
      <w:proofErr w:type="spellStart"/>
      <w:r w:rsidRPr="008850F0">
        <w:rPr>
          <w:rFonts w:hint="cs"/>
          <w:rtl/>
        </w:rPr>
        <w:t>يُويَاكِينَ</w:t>
      </w:r>
      <w:proofErr w:type="spellEnd"/>
      <w:r w:rsidRPr="008850F0">
        <w:rPr>
          <w:rtl/>
        </w:rPr>
        <w:t xml:space="preserve"> </w:t>
      </w:r>
      <w:r w:rsidRPr="008850F0">
        <w:rPr>
          <w:rFonts w:hint="cs"/>
          <w:rtl/>
        </w:rPr>
        <w:t>الْمَلِكِ،</w:t>
      </w:r>
      <w:r w:rsidRPr="008850F0">
        <w:rPr>
          <w:rtl/>
        </w:rPr>
        <w:t xml:space="preserve">  </w:t>
      </w:r>
      <w:r w:rsidRPr="008850F0">
        <w:rPr>
          <w:rFonts w:ascii="Tahoma" w:hAnsi="Tahoma" w:cs="Tahoma" w:hint="cs"/>
          <w:rtl/>
        </w:rPr>
        <w:t>﻿</w:t>
      </w:r>
      <w:r w:rsidRPr="008850F0">
        <w:rPr>
          <w:rtl/>
        </w:rPr>
        <w:t>3</w:t>
      </w:r>
      <w:r w:rsidRPr="008850F0">
        <w:rPr>
          <w:rFonts w:ascii="Tahoma" w:hAnsi="Tahoma" w:cs="Tahoma" w:hint="cs"/>
          <w:rtl/>
        </w:rPr>
        <w:t>﻿</w:t>
      </w:r>
      <w:r w:rsidRPr="008850F0">
        <w:rPr>
          <w:rtl/>
        </w:rPr>
        <w:t xml:space="preserve"> </w:t>
      </w:r>
      <w:r w:rsidRPr="008850F0">
        <w:rPr>
          <w:rFonts w:ascii="Tahoma" w:hAnsi="Tahoma" w:cs="Tahoma" w:hint="cs"/>
          <w:rtl/>
        </w:rPr>
        <w:t>﻿</w:t>
      </w:r>
      <w:r w:rsidRPr="008850F0">
        <w:rPr>
          <w:rFonts w:hint="cs"/>
          <w:rtl/>
        </w:rPr>
        <w:t>صَارَ</w:t>
      </w:r>
      <w:r w:rsidRPr="008850F0">
        <w:rPr>
          <w:rtl/>
        </w:rPr>
        <w:t xml:space="preserve"> </w:t>
      </w:r>
      <w:r w:rsidRPr="008850F0">
        <w:rPr>
          <w:rFonts w:hint="cs"/>
          <w:rtl/>
        </w:rPr>
        <w:t>كَلاَمُ</w:t>
      </w:r>
      <w:r w:rsidRPr="008850F0">
        <w:rPr>
          <w:rtl/>
        </w:rPr>
        <w:t xml:space="preserve"> </w:t>
      </w:r>
      <w:r w:rsidRPr="008850F0">
        <w:rPr>
          <w:rFonts w:hint="cs"/>
          <w:rtl/>
        </w:rPr>
        <w:t>الرَّبِّ</w:t>
      </w:r>
      <w:r w:rsidRPr="008850F0">
        <w:rPr>
          <w:rtl/>
        </w:rPr>
        <w:t xml:space="preserve"> </w:t>
      </w:r>
      <w:r w:rsidRPr="008850F0">
        <w:rPr>
          <w:rFonts w:hint="cs"/>
          <w:rtl/>
        </w:rPr>
        <w:t>إِلَى</w:t>
      </w:r>
      <w:r w:rsidRPr="008850F0">
        <w:rPr>
          <w:rtl/>
        </w:rPr>
        <w:t xml:space="preserve"> </w:t>
      </w:r>
      <w:r w:rsidRPr="008850F0">
        <w:rPr>
          <w:rFonts w:hint="cs"/>
          <w:rtl/>
        </w:rPr>
        <w:t>حِزْقِيَالَ</w:t>
      </w:r>
      <w:r w:rsidRPr="008850F0">
        <w:rPr>
          <w:rtl/>
        </w:rPr>
        <w:t xml:space="preserve"> </w:t>
      </w:r>
      <w:r w:rsidRPr="008850F0">
        <w:rPr>
          <w:rFonts w:hint="cs"/>
          <w:rtl/>
        </w:rPr>
        <w:t>الْكَاهِنِ</w:t>
      </w:r>
      <w:r w:rsidRPr="008850F0">
        <w:rPr>
          <w:rtl/>
        </w:rPr>
        <w:t xml:space="preserve"> </w:t>
      </w:r>
      <w:r w:rsidRPr="008850F0">
        <w:rPr>
          <w:rFonts w:hint="cs"/>
          <w:rtl/>
        </w:rPr>
        <w:t>ابْنِ</w:t>
      </w:r>
      <w:r w:rsidRPr="008850F0">
        <w:rPr>
          <w:rtl/>
        </w:rPr>
        <w:t xml:space="preserve"> </w:t>
      </w:r>
      <w:r w:rsidRPr="008850F0">
        <w:rPr>
          <w:rFonts w:hint="cs"/>
          <w:rtl/>
        </w:rPr>
        <w:t>بُوزِي</w:t>
      </w:r>
      <w:r w:rsidRPr="008850F0">
        <w:rPr>
          <w:rtl/>
        </w:rPr>
        <w:t xml:space="preserve"> </w:t>
      </w:r>
      <w:r w:rsidRPr="008850F0">
        <w:rPr>
          <w:rFonts w:hint="cs"/>
          <w:rtl/>
        </w:rPr>
        <w:t>فِي</w:t>
      </w:r>
      <w:r w:rsidRPr="008850F0">
        <w:rPr>
          <w:rtl/>
        </w:rPr>
        <w:t xml:space="preserve"> </w:t>
      </w:r>
      <w:r w:rsidRPr="008850F0">
        <w:rPr>
          <w:rFonts w:hint="cs"/>
          <w:rtl/>
        </w:rPr>
        <w:t>أَرْضِ</w:t>
      </w:r>
      <w:r w:rsidRPr="008850F0">
        <w:rPr>
          <w:rtl/>
        </w:rPr>
        <w:t xml:space="preserve"> </w:t>
      </w:r>
      <w:r w:rsidRPr="008850F0">
        <w:rPr>
          <w:rFonts w:hint="cs"/>
          <w:rtl/>
        </w:rPr>
        <w:t>الْكَلْدَانِيِّينَ</w:t>
      </w:r>
      <w:r w:rsidRPr="008850F0">
        <w:rPr>
          <w:rtl/>
        </w:rPr>
        <w:t xml:space="preserve"> </w:t>
      </w:r>
      <w:r w:rsidRPr="008850F0">
        <w:rPr>
          <w:rFonts w:hint="cs"/>
          <w:rtl/>
        </w:rPr>
        <w:t>عِنْدَ</w:t>
      </w:r>
      <w:r w:rsidRPr="008850F0">
        <w:rPr>
          <w:rtl/>
        </w:rPr>
        <w:t xml:space="preserve"> </w:t>
      </w:r>
      <w:r w:rsidRPr="008850F0">
        <w:rPr>
          <w:rFonts w:hint="cs"/>
          <w:rtl/>
        </w:rPr>
        <w:t>نَهْرِ</w:t>
      </w:r>
      <w:r w:rsidRPr="008850F0">
        <w:rPr>
          <w:rtl/>
        </w:rPr>
        <w:t xml:space="preserve"> </w:t>
      </w:r>
      <w:r w:rsidRPr="008850F0">
        <w:rPr>
          <w:rFonts w:hint="cs"/>
          <w:rtl/>
        </w:rPr>
        <w:t>خَابُورَ</w:t>
      </w:r>
      <w:r w:rsidRPr="008850F0">
        <w:rPr>
          <w:rtl/>
        </w:rPr>
        <w:t xml:space="preserve">. </w:t>
      </w:r>
      <w:r w:rsidRPr="008850F0">
        <w:rPr>
          <w:rFonts w:hint="cs"/>
          <w:rtl/>
        </w:rPr>
        <w:t>وَكَانَتْ</w:t>
      </w:r>
      <w:r w:rsidRPr="008850F0">
        <w:rPr>
          <w:rtl/>
        </w:rPr>
        <w:t xml:space="preserve"> </w:t>
      </w:r>
      <w:r w:rsidRPr="008850F0">
        <w:rPr>
          <w:rFonts w:hint="cs"/>
          <w:rtl/>
        </w:rPr>
        <w:t>عَلَيْهِ</w:t>
      </w:r>
      <w:r w:rsidRPr="008850F0">
        <w:rPr>
          <w:rtl/>
        </w:rPr>
        <w:t xml:space="preserve"> </w:t>
      </w:r>
      <w:r w:rsidRPr="008850F0">
        <w:rPr>
          <w:rFonts w:hint="cs"/>
          <w:rtl/>
        </w:rPr>
        <w:t>هُنَاكَ</w:t>
      </w:r>
      <w:r w:rsidRPr="008850F0">
        <w:rPr>
          <w:rtl/>
        </w:rPr>
        <w:t xml:space="preserve"> </w:t>
      </w:r>
      <w:r w:rsidRPr="008850F0">
        <w:rPr>
          <w:rFonts w:hint="cs"/>
          <w:rtl/>
        </w:rPr>
        <w:t>يَدُ</w:t>
      </w:r>
      <w:r w:rsidRPr="008850F0">
        <w:rPr>
          <w:rtl/>
        </w:rPr>
        <w:t xml:space="preserve"> </w:t>
      </w:r>
      <w:r w:rsidRPr="008850F0">
        <w:rPr>
          <w:rFonts w:hint="cs"/>
          <w:rtl/>
        </w:rPr>
        <w:t>الرَّبِّ</w:t>
      </w:r>
      <w:r w:rsidRPr="008850F0">
        <w:rPr>
          <w:rtl/>
        </w:rPr>
        <w:t>.</w:t>
      </w:r>
      <w:r>
        <w:rPr>
          <w:rFonts w:hint="cs"/>
          <w:rtl/>
        </w:rPr>
        <w:t xml:space="preserve">" (حزقيال 1: 1 </w:t>
      </w:r>
      <w:r>
        <w:rPr>
          <w:rtl/>
        </w:rPr>
        <w:t>–</w:t>
      </w:r>
      <w:r>
        <w:rPr>
          <w:rFonts w:hint="cs"/>
          <w:rtl/>
        </w:rPr>
        <w:t xml:space="preserve"> 3).</w:t>
      </w:r>
    </w:p>
    <w:p w14:paraId="19DE4C85" w14:textId="4A3A53F3" w:rsidR="008850F0" w:rsidRDefault="008850F0" w:rsidP="00230E29">
      <w:pPr>
        <w:jc w:val="both"/>
        <w:rPr>
          <w:rtl/>
        </w:rPr>
      </w:pPr>
      <w:r>
        <w:rPr>
          <w:rFonts w:hint="cs"/>
          <w:rtl/>
        </w:rPr>
        <w:t xml:space="preserve">يبدأ سفر حزقيال بوصف رؤًى اختبرها النبي عند نهر خابور. </w:t>
      </w:r>
      <w:r w:rsidR="00D807DF">
        <w:rPr>
          <w:rFonts w:hint="cs"/>
          <w:rtl/>
        </w:rPr>
        <w:t>فحرف العطف "و (غير مذكور في الترجمة العربية)"</w:t>
      </w:r>
      <w:r w:rsidR="00D807DF">
        <w:rPr>
          <w:rStyle w:val="FootnoteReference"/>
          <w:rtl/>
        </w:rPr>
        <w:footnoteReference w:id="1"/>
      </w:r>
      <w:r w:rsidR="00D807DF">
        <w:rPr>
          <w:rFonts w:hint="cs"/>
          <w:rtl/>
        </w:rPr>
        <w:t>، يربط النص سفر إرميا بما يشابه ارتباط النص في سفر يشوع بسفر التثنية. فالعدد الأول</w:t>
      </w:r>
      <w:r w:rsidR="00E87861">
        <w:rPr>
          <w:rFonts w:hint="cs"/>
          <w:rtl/>
        </w:rPr>
        <w:t xml:space="preserve"> فيه القولان "كنت" و"رأيت" مما يوضح بأن كاتب هذا السفر هو حزقيال. بعض النقاد يعتبرون العدد الثالث كإضافة فيما بعد ذلك كتبها آخر نقّح السفر، ولكن لا يوجد أي برهان على ذلك.</w:t>
      </w:r>
    </w:p>
    <w:p w14:paraId="11940A5B" w14:textId="48E86581" w:rsidR="00E87861" w:rsidRDefault="00E87861" w:rsidP="00230E29">
      <w:pPr>
        <w:jc w:val="both"/>
        <w:rPr>
          <w:rtl/>
        </w:rPr>
      </w:pPr>
      <w:r>
        <w:rPr>
          <w:rFonts w:hint="cs"/>
          <w:rtl/>
        </w:rPr>
        <w:t>في وصف شخصيته ومسقط رأسه لا يستخدم حزقيال الضمائر الشخصية، بينما عاد واستخدمها بقوله "رأيت"، عندما وصف الرؤى وسرد اختباراته.</w:t>
      </w:r>
    </w:p>
    <w:p w14:paraId="687870C7" w14:textId="637240AD" w:rsidR="00E87861" w:rsidRDefault="00E87861" w:rsidP="00230E29">
      <w:pPr>
        <w:jc w:val="both"/>
        <w:rPr>
          <w:rtl/>
        </w:rPr>
      </w:pPr>
      <w:r>
        <w:rPr>
          <w:rFonts w:hint="cs"/>
          <w:rtl/>
        </w:rPr>
        <w:t>إن "السنة الثلاثون" غالبًا ما تُعتبر سنّ عُمر حزقيال كما وتتم المفارقة بينه وربنا في هذا الاعتبار. فكما أن حزقيال كان عمره ثلاثين عامًا وقد رأى السماء عند ضفاف النهر، كان الرب ابن ثلاثين عامًا حينما رأى السماء</w:t>
      </w:r>
      <w:r w:rsidR="005C5D55">
        <w:rPr>
          <w:rFonts w:hint="cs"/>
          <w:rtl/>
        </w:rPr>
        <w:t xml:space="preserve"> في معموديته في نهر الأردن (متى 3: 16؛ لوقا 3: 21). أما النص فلا يسلمنا أي دليل على هذا الشرح. وما هو أكثر احتمالاً هو أنها السنة الثلاثين بحسب التقويم البابلي، التي ابتدأت مع </w:t>
      </w:r>
      <w:proofErr w:type="spellStart"/>
      <w:r w:rsidR="005C5D55">
        <w:rPr>
          <w:rFonts w:hint="cs"/>
          <w:rtl/>
        </w:rPr>
        <w:t>نابوبولصر</w:t>
      </w:r>
      <w:proofErr w:type="spellEnd"/>
      <w:r w:rsidR="005C5D55">
        <w:rPr>
          <w:rFonts w:hint="cs"/>
          <w:rtl/>
        </w:rPr>
        <w:t xml:space="preserve"> والد </w:t>
      </w:r>
      <w:proofErr w:type="spellStart"/>
      <w:r w:rsidR="005C5D55">
        <w:rPr>
          <w:rFonts w:hint="cs"/>
          <w:rtl/>
        </w:rPr>
        <w:t>نبوخذنصر</w:t>
      </w:r>
      <w:proofErr w:type="spellEnd"/>
      <w:r w:rsidR="005C5D55">
        <w:rPr>
          <w:rFonts w:hint="cs"/>
          <w:rtl/>
        </w:rPr>
        <w:t>، الذي صار ملكًا على بابل عام 625 ق.م.</w:t>
      </w:r>
      <w:r w:rsidR="005C5D55">
        <w:rPr>
          <w:rStyle w:val="FootnoteReference"/>
          <w:rtl/>
        </w:rPr>
        <w:footnoteReference w:id="2"/>
      </w:r>
    </w:p>
    <w:p w14:paraId="09EFDC4E" w14:textId="1E534013" w:rsidR="005C5D55" w:rsidRDefault="005C5D55" w:rsidP="00230E29">
      <w:pPr>
        <w:jc w:val="both"/>
        <w:rPr>
          <w:rtl/>
        </w:rPr>
      </w:pPr>
      <w:r>
        <w:rPr>
          <w:rFonts w:hint="cs"/>
          <w:rtl/>
        </w:rPr>
        <w:t>هي أربعة أمور ذُكرت عن حزقيال في مقدمة سِفره.</w:t>
      </w:r>
    </w:p>
    <w:p w14:paraId="461D8047" w14:textId="018713F5" w:rsidR="005C5D55" w:rsidRDefault="005C5D55" w:rsidP="005C5D55">
      <w:pPr>
        <w:pStyle w:val="ListParagraph"/>
        <w:numPr>
          <w:ilvl w:val="0"/>
          <w:numId w:val="1"/>
        </w:numPr>
        <w:jc w:val="both"/>
      </w:pPr>
      <w:r w:rsidRPr="005C5D55">
        <w:rPr>
          <w:rtl/>
        </w:rPr>
        <w:t>أَنَّ السَّمَاوَاتِ انْفَتَحَتْ</w:t>
      </w:r>
    </w:p>
    <w:p w14:paraId="6BD5227E" w14:textId="3E501C98" w:rsidR="005C5D55" w:rsidRDefault="005C5D55" w:rsidP="005C5D55">
      <w:pPr>
        <w:pStyle w:val="ListParagraph"/>
        <w:numPr>
          <w:ilvl w:val="0"/>
          <w:numId w:val="1"/>
        </w:numPr>
        <w:jc w:val="both"/>
      </w:pPr>
      <w:r>
        <w:rPr>
          <w:rFonts w:hint="cs"/>
          <w:rtl/>
        </w:rPr>
        <w:t>رأى رؤى الله.</w:t>
      </w:r>
    </w:p>
    <w:p w14:paraId="366A2AC5" w14:textId="4A28D806" w:rsidR="005C5D55" w:rsidRDefault="005C5D55" w:rsidP="005C5D55">
      <w:pPr>
        <w:pStyle w:val="ListParagraph"/>
        <w:numPr>
          <w:ilvl w:val="0"/>
          <w:numId w:val="1"/>
        </w:numPr>
        <w:jc w:val="both"/>
      </w:pPr>
      <w:r>
        <w:rPr>
          <w:rFonts w:hint="cs"/>
          <w:rtl/>
        </w:rPr>
        <w:t>حلّت عليه كلمة الرب.</w:t>
      </w:r>
    </w:p>
    <w:p w14:paraId="0232D3B6" w14:textId="62CD720F" w:rsidR="005C5D55" w:rsidRDefault="005C5D55" w:rsidP="005C5D55">
      <w:pPr>
        <w:pStyle w:val="ListParagraph"/>
        <w:numPr>
          <w:ilvl w:val="0"/>
          <w:numId w:val="1"/>
        </w:numPr>
        <w:jc w:val="both"/>
      </w:pPr>
      <w:r>
        <w:rPr>
          <w:rFonts w:hint="cs"/>
          <w:rtl/>
        </w:rPr>
        <w:t>يد الرب كانت عليه.</w:t>
      </w:r>
    </w:p>
    <w:p w14:paraId="7C974CFC" w14:textId="26AC14BD" w:rsidR="005C5D55" w:rsidRDefault="005C5D55" w:rsidP="005C5D55">
      <w:pPr>
        <w:jc w:val="both"/>
      </w:pPr>
      <w:r>
        <w:rPr>
          <w:rFonts w:hint="cs"/>
          <w:rtl/>
        </w:rPr>
        <w:t xml:space="preserve">حزقيال هو النبي الوحيد الذي يُقال عنه بأنه رأى السموات مفتوحة. فلا يوجد أي وصف أو ذكر في العهد القديم عن سموات مفتوحة. أما في العهد الجديد فهذه الصيغة ذُكرت أربع مرات. في متى 3: 16 انفتحت السموات </w:t>
      </w:r>
      <w:r w:rsidR="004716C2">
        <w:rPr>
          <w:rFonts w:hint="cs"/>
          <w:rtl/>
        </w:rPr>
        <w:t xml:space="preserve">عند معمودية ربنا. في يوحنا 1: 51 تكلم الرب عن سموات مفتوحة وظهور ملائكة ما كانت لا تزال قيد المستقبل وأشارت إلى مجيئه في سلطان ومجد. في رؤيا 4: 1 فُتح باب في السماء وسمع يوحنا الكلمات "اصعد إلى هنا"، مما يُشير رمزيًا إلى ميعاد اختطاف الكنيسة إلى محضر الرب. والمرة الأخيرة ذُكرت السماء المفتوحة في رؤيا 19: 11 عندما سيأتي ربنا كملك الملوك ورب </w:t>
      </w:r>
      <w:hyperlink r:id="rId9" w:anchor=":~:text=Der%20ge%C3%B6ffnete%20Himmel%20zeigt%20Hesekiel%20zwar%20Visionen" w:history="1">
        <w:r w:rsidR="004716C2" w:rsidRPr="00FF19D2">
          <w:rPr>
            <w:rStyle w:val="Hyperlink"/>
            <w:rtl/>
          </w:rPr>
          <w:t>الأرباب</w:t>
        </w:r>
      </w:hyperlink>
      <w:r w:rsidR="004716C2">
        <w:rPr>
          <w:rFonts w:hint="cs"/>
          <w:rtl/>
        </w:rPr>
        <w:t>.</w:t>
      </w:r>
    </w:p>
    <w:sectPr w:rsidR="005C5D55" w:rsidSect="005154F5">
      <w:footnotePr>
        <w:numRestart w:val="eachSect"/>
      </w:footnotePr>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A8433" w14:textId="77777777" w:rsidR="00F23EA6" w:rsidRDefault="00F23EA6" w:rsidP="00D807DF">
      <w:pPr>
        <w:spacing w:after="0" w:line="240" w:lineRule="auto"/>
      </w:pPr>
      <w:r>
        <w:separator/>
      </w:r>
    </w:p>
  </w:endnote>
  <w:endnote w:type="continuationSeparator" w:id="0">
    <w:p w14:paraId="78C87318" w14:textId="77777777" w:rsidR="00F23EA6" w:rsidRDefault="00F23EA6" w:rsidP="00D80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114BF" w14:textId="77777777" w:rsidR="00F23EA6" w:rsidRDefault="00F23EA6" w:rsidP="00D807DF">
      <w:pPr>
        <w:spacing w:after="0" w:line="240" w:lineRule="auto"/>
      </w:pPr>
      <w:r>
        <w:separator/>
      </w:r>
    </w:p>
  </w:footnote>
  <w:footnote w:type="continuationSeparator" w:id="0">
    <w:p w14:paraId="413211D2" w14:textId="77777777" w:rsidR="00F23EA6" w:rsidRDefault="00F23EA6" w:rsidP="00D807DF">
      <w:pPr>
        <w:spacing w:after="0" w:line="240" w:lineRule="auto"/>
      </w:pPr>
      <w:r>
        <w:continuationSeparator/>
      </w:r>
    </w:p>
  </w:footnote>
  <w:footnote w:id="1">
    <w:p w14:paraId="25F79559" w14:textId="18304CC6" w:rsidR="00D807DF" w:rsidRDefault="00D807DF">
      <w:pPr>
        <w:pStyle w:val="FootnoteText"/>
      </w:pPr>
      <w:r>
        <w:rPr>
          <w:rStyle w:val="FootnoteReference"/>
        </w:rPr>
        <w:footnoteRef/>
      </w:r>
      <w:r>
        <w:rPr>
          <w:rtl/>
        </w:rPr>
        <w:t xml:space="preserve"> </w:t>
      </w:r>
    </w:p>
  </w:footnote>
  <w:footnote w:id="2">
    <w:p w14:paraId="46F1C700" w14:textId="446C14A8" w:rsidR="005C5D55" w:rsidRDefault="005C5D55" w:rsidP="005C5D55">
      <w:pPr>
        <w:pStyle w:val="FootnoteText"/>
        <w:rPr>
          <w:rFonts w:hint="cs"/>
        </w:rPr>
      </w:pPr>
      <w:r>
        <w:rPr>
          <w:rStyle w:val="FootnoteReference"/>
        </w:rPr>
        <w:footnoteRef/>
      </w:r>
      <w:r>
        <w:rPr>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B57F2"/>
    <w:multiLevelType w:val="hybridMultilevel"/>
    <w:tmpl w:val="E93AE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360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951"/>
    <w:rsid w:val="00010443"/>
    <w:rsid w:val="00230E29"/>
    <w:rsid w:val="00283C11"/>
    <w:rsid w:val="004716C2"/>
    <w:rsid w:val="005154F5"/>
    <w:rsid w:val="005C5D55"/>
    <w:rsid w:val="006B719F"/>
    <w:rsid w:val="007300D3"/>
    <w:rsid w:val="007E0C40"/>
    <w:rsid w:val="007E50B3"/>
    <w:rsid w:val="008850F0"/>
    <w:rsid w:val="009C0240"/>
    <w:rsid w:val="00B10E6D"/>
    <w:rsid w:val="00B82951"/>
    <w:rsid w:val="00D807DF"/>
    <w:rsid w:val="00E87861"/>
    <w:rsid w:val="00F23EA6"/>
    <w:rsid w:val="00FF19D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0E33"/>
  <w15:chartTrackingRefBased/>
  <w15:docId w15:val="{8F663891-C0D5-4759-90DE-7AC6C6E68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B82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95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829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29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29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29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29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29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951"/>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B82951"/>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B82951"/>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B82951"/>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B82951"/>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B82951"/>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B82951"/>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B82951"/>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B82951"/>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B82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951"/>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B8295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82951"/>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B82951"/>
    <w:pPr>
      <w:spacing w:before="160"/>
      <w:jc w:val="center"/>
    </w:pPr>
    <w:rPr>
      <w:i/>
      <w:iCs/>
      <w:color w:val="404040" w:themeColor="text1" w:themeTint="BF"/>
    </w:rPr>
  </w:style>
  <w:style w:type="character" w:customStyle="1" w:styleId="QuoteChar">
    <w:name w:val="Quote Char"/>
    <w:basedOn w:val="DefaultParagraphFont"/>
    <w:link w:val="Quote"/>
    <w:uiPriority w:val="29"/>
    <w:rsid w:val="00B82951"/>
    <w:rPr>
      <w:i/>
      <w:iCs/>
      <w:color w:val="404040" w:themeColor="text1" w:themeTint="BF"/>
      <w:lang w:bidi="ar-EG"/>
    </w:rPr>
  </w:style>
  <w:style w:type="paragraph" w:styleId="ListParagraph">
    <w:name w:val="List Paragraph"/>
    <w:basedOn w:val="Normal"/>
    <w:uiPriority w:val="34"/>
    <w:qFormat/>
    <w:rsid w:val="00B82951"/>
    <w:pPr>
      <w:ind w:left="720"/>
      <w:contextualSpacing/>
    </w:pPr>
  </w:style>
  <w:style w:type="character" w:styleId="IntenseEmphasis">
    <w:name w:val="Intense Emphasis"/>
    <w:basedOn w:val="DefaultParagraphFont"/>
    <w:uiPriority w:val="21"/>
    <w:qFormat/>
    <w:rsid w:val="00B82951"/>
    <w:rPr>
      <w:i/>
      <w:iCs/>
      <w:color w:val="0F4761" w:themeColor="accent1" w:themeShade="BF"/>
    </w:rPr>
  </w:style>
  <w:style w:type="paragraph" w:styleId="IntenseQuote">
    <w:name w:val="Intense Quote"/>
    <w:basedOn w:val="Normal"/>
    <w:next w:val="Normal"/>
    <w:link w:val="IntenseQuoteChar"/>
    <w:uiPriority w:val="30"/>
    <w:qFormat/>
    <w:rsid w:val="00B82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951"/>
    <w:rPr>
      <w:i/>
      <w:iCs/>
      <w:color w:val="0F4761" w:themeColor="accent1" w:themeShade="BF"/>
      <w:lang w:bidi="ar-EG"/>
    </w:rPr>
  </w:style>
  <w:style w:type="character" w:styleId="IntenseReference">
    <w:name w:val="Intense Reference"/>
    <w:basedOn w:val="DefaultParagraphFont"/>
    <w:uiPriority w:val="32"/>
    <w:qFormat/>
    <w:rsid w:val="00B82951"/>
    <w:rPr>
      <w:b/>
      <w:bCs/>
      <w:smallCaps/>
      <w:color w:val="0F4761" w:themeColor="accent1" w:themeShade="BF"/>
      <w:spacing w:val="5"/>
    </w:rPr>
  </w:style>
  <w:style w:type="character" w:styleId="Hyperlink">
    <w:name w:val="Hyperlink"/>
    <w:basedOn w:val="DefaultParagraphFont"/>
    <w:uiPriority w:val="99"/>
    <w:unhideWhenUsed/>
    <w:rsid w:val="00230E29"/>
    <w:rPr>
      <w:color w:val="467886" w:themeColor="hyperlink"/>
      <w:u w:val="single"/>
    </w:rPr>
  </w:style>
  <w:style w:type="character" w:styleId="UnresolvedMention">
    <w:name w:val="Unresolved Mention"/>
    <w:basedOn w:val="DefaultParagraphFont"/>
    <w:uiPriority w:val="99"/>
    <w:semiHidden/>
    <w:unhideWhenUsed/>
    <w:rsid w:val="00230E29"/>
    <w:rPr>
      <w:color w:val="605E5C"/>
      <w:shd w:val="clear" w:color="auto" w:fill="E1DFDD"/>
    </w:rPr>
  </w:style>
  <w:style w:type="character" w:styleId="FollowedHyperlink">
    <w:name w:val="FollowedHyperlink"/>
    <w:basedOn w:val="DefaultParagraphFont"/>
    <w:uiPriority w:val="99"/>
    <w:semiHidden/>
    <w:unhideWhenUsed/>
    <w:rsid w:val="008850F0"/>
    <w:rPr>
      <w:color w:val="96607D" w:themeColor="followedHyperlink"/>
      <w:u w:val="single"/>
    </w:rPr>
  </w:style>
  <w:style w:type="paragraph" w:styleId="FootnoteText">
    <w:name w:val="footnote text"/>
    <w:basedOn w:val="Normal"/>
    <w:link w:val="FootnoteTextChar"/>
    <w:uiPriority w:val="99"/>
    <w:semiHidden/>
    <w:unhideWhenUsed/>
    <w:rsid w:val="00D807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07DF"/>
    <w:rPr>
      <w:sz w:val="20"/>
      <w:szCs w:val="20"/>
      <w:lang w:bidi="ar-EG"/>
    </w:rPr>
  </w:style>
  <w:style w:type="character" w:styleId="FootnoteReference">
    <w:name w:val="footnote reference"/>
    <w:basedOn w:val="DefaultParagraphFont"/>
    <w:uiPriority w:val="99"/>
    <w:semiHidden/>
    <w:unhideWhenUsed/>
    <w:rsid w:val="00D807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1809/der-prophet-hesekiel/das-gesicht-der-herrlichkeit-des-herrn-und-die-berufung-des-propheten-1-1-3-1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belkommentare.de/kommentare/k-11809/der-prophet-hesekiel/das-gesicht-der-herrlichkeit-des-herrn-und-die-berufung-des-propheten-1-1-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91CA-CEB9-41B0-87F7-181DA1C15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517</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4</cp:revision>
  <dcterms:created xsi:type="dcterms:W3CDTF">2026-08-12T08:10:00Z</dcterms:created>
  <dcterms:modified xsi:type="dcterms:W3CDTF">2026-08-14T05:31:00Z</dcterms:modified>
</cp:coreProperties>
</file>