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941C" w14:textId="7CB6DB7C" w:rsidR="00051645" w:rsidRDefault="00597CA6">
      <w:pPr>
        <w:rPr>
          <w:rtl/>
          <w:lang w:bidi="ar-LB"/>
        </w:rPr>
      </w:pPr>
      <w:hyperlink r:id="rId4" w:history="1">
        <w:r w:rsidRPr="00597CA6">
          <w:rPr>
            <w:rStyle w:val="Hyperlink"/>
            <w:rtl/>
            <w:lang w:bidi="ar-LB"/>
          </w:rPr>
          <w:t>الاختيار وقصد الله</w:t>
        </w:r>
      </w:hyperlink>
    </w:p>
    <w:p w14:paraId="0C812164" w14:textId="284221B7" w:rsidR="00597CA6" w:rsidRDefault="00597CA6">
      <w:pPr>
        <w:rPr>
          <w:rtl/>
          <w:lang w:bidi="ar-LB"/>
        </w:rPr>
      </w:pPr>
      <w:r>
        <w:rPr>
          <w:rFonts w:hint="cs"/>
          <w:rtl/>
          <w:lang w:bidi="ar-LB"/>
        </w:rPr>
        <w:t>هل بالفعل ليس كل الناس يؤمنون؟</w:t>
      </w:r>
    </w:p>
    <w:p w14:paraId="7E4C7AB5" w14:textId="565D3033" w:rsidR="00597CA6" w:rsidRDefault="00597CA6" w:rsidP="00597CA6">
      <w:pPr>
        <w:bidi w:val="0"/>
        <w:rPr>
          <w:lang w:bidi="ar-LB"/>
        </w:rPr>
      </w:pPr>
      <w:r w:rsidRPr="00597CA6">
        <w:rPr>
          <w:lang w:bidi="ar-LB"/>
        </w:rPr>
        <w:t>Charles Henry Mackintosh</w:t>
      </w:r>
    </w:p>
    <w:p w14:paraId="115BDE39" w14:textId="789675ED" w:rsidR="00597CA6" w:rsidRDefault="00CE3633">
      <w:pPr>
        <w:rPr>
          <w:rtl/>
          <w:lang w:bidi="ar-LB"/>
        </w:rPr>
      </w:pPr>
      <w:r w:rsidRPr="00CE3633">
        <w:rPr>
          <w:rtl/>
          <w:lang w:bidi="ar-LB"/>
        </w:rPr>
        <w:t>الآيات الرئيسية: مرقس ١٦: ١٦؛ يوحنا ٣: ١٦؛ ١ تيموثاوس ٢: ١-٦؛ تيطس ٢: ١١؛ عبرانيين ٢: ٩؛ ٢ بطرس ٣: ٩</w:t>
      </w:r>
    </w:p>
    <w:p w14:paraId="3D6B85CA" w14:textId="7ED7FEF1" w:rsidR="00CE3633" w:rsidRDefault="00CE3633">
      <w:pPr>
        <w:rPr>
          <w:rtl/>
          <w:lang w:bidi="ar-LB"/>
        </w:rPr>
      </w:pPr>
      <w:r>
        <w:rPr>
          <w:rFonts w:hint="cs"/>
          <w:rtl/>
          <w:lang w:bidi="ar-LB"/>
        </w:rPr>
        <w:t>نطاق عمل الفداء</w:t>
      </w:r>
    </w:p>
    <w:p w14:paraId="5318DB24" w14:textId="4547F3B2" w:rsidR="00CE3633" w:rsidRDefault="00CE3633">
      <w:pPr>
        <w:rPr>
          <w:rtl/>
          <w:lang w:bidi="ar-LB"/>
        </w:rPr>
      </w:pPr>
      <w:r w:rsidRPr="00CE3633">
        <w:rPr>
          <w:rtl/>
          <w:lang w:bidi="ar-LB"/>
        </w:rPr>
        <w:t xml:space="preserve">هذه </w:t>
      </w:r>
      <w:r>
        <w:rPr>
          <w:rFonts w:hint="cs"/>
          <w:rtl/>
          <w:lang w:bidi="ar-LB"/>
        </w:rPr>
        <w:t>الآيات</w:t>
      </w:r>
      <w:r w:rsidRPr="00CE3633">
        <w:rPr>
          <w:rtl/>
          <w:lang w:bidi="ar-LB"/>
        </w:rPr>
        <w:t xml:space="preserve"> (انظر أعلاه</w:t>
      </w:r>
      <w:r>
        <w:rPr>
          <w:rFonts w:hint="cs"/>
          <w:rtl/>
          <w:lang w:bidi="ar-LB"/>
        </w:rPr>
        <w:t xml:space="preserve"> تسلمنا</w:t>
      </w:r>
      <w:r w:rsidRPr="00CE3633">
        <w:rPr>
          <w:rtl/>
          <w:lang w:bidi="ar-LB"/>
        </w:rPr>
        <w:t xml:space="preserve"> صورة واضحة وشهادة</w:t>
      </w:r>
      <w:r>
        <w:rPr>
          <w:rFonts w:hint="cs"/>
          <w:rtl/>
          <w:lang w:bidi="ar-LB"/>
        </w:rPr>
        <w:t xml:space="preserve"> ليس لها إلا معنى واحد عن</w:t>
      </w:r>
      <w:r w:rsidRPr="00CE3633">
        <w:rPr>
          <w:rtl/>
          <w:lang w:bidi="ar-LB"/>
        </w:rPr>
        <w:t xml:space="preserve"> النعمة الإلهية </w:t>
      </w:r>
      <w:r>
        <w:rPr>
          <w:rFonts w:hint="cs"/>
          <w:rtl/>
          <w:lang w:bidi="ar-LB"/>
        </w:rPr>
        <w:t>نحو الجميع</w:t>
      </w:r>
      <w:r w:rsidRPr="00CE3633">
        <w:rPr>
          <w:rtl/>
          <w:lang w:bidi="ar-LB"/>
        </w:rPr>
        <w:t xml:space="preserve">، من دون أي اعتبار لمسؤولية </w:t>
      </w:r>
      <w:r>
        <w:rPr>
          <w:rFonts w:hint="cs"/>
          <w:rtl/>
          <w:lang w:bidi="ar-LB"/>
        </w:rPr>
        <w:t>الإنسان أو لمشورات الله الأبدية.</w:t>
      </w:r>
      <w:r w:rsidRPr="00CE3633">
        <w:rPr>
          <w:rtl/>
          <w:lang w:bidi="ar-LB"/>
        </w:rPr>
        <w:t xml:space="preserve"> كلمة الله</w:t>
      </w:r>
      <w:r>
        <w:rPr>
          <w:rFonts w:hint="cs"/>
          <w:rtl/>
          <w:lang w:bidi="ar-LB"/>
        </w:rPr>
        <w:t xml:space="preserve"> تُري</w:t>
      </w:r>
      <w:r w:rsidRPr="00CE3633">
        <w:rPr>
          <w:rtl/>
          <w:lang w:bidi="ar-LB"/>
        </w:rPr>
        <w:t xml:space="preserve"> بوضوح أن </w:t>
      </w:r>
      <w:r>
        <w:rPr>
          <w:rFonts w:hint="cs"/>
          <w:rtl/>
          <w:lang w:bidi="ar-LB"/>
        </w:rPr>
        <w:t>الإنسان</w:t>
      </w:r>
      <w:r w:rsidRPr="00CE3633">
        <w:rPr>
          <w:rtl/>
          <w:lang w:bidi="ar-LB"/>
        </w:rPr>
        <w:t xml:space="preserve"> مسؤول والله يمكن</w:t>
      </w:r>
      <w:r>
        <w:rPr>
          <w:rFonts w:hint="cs"/>
          <w:rtl/>
          <w:lang w:bidi="ar-LB"/>
        </w:rPr>
        <w:t>ه أن يعمل دون حدود.</w:t>
      </w:r>
    </w:p>
    <w:p w14:paraId="27D46489" w14:textId="16C4AE19" w:rsidR="00CE3633" w:rsidRDefault="00CE3633">
      <w:pPr>
        <w:rPr>
          <w:rtl/>
          <w:lang w:bidi="ar-LB"/>
        </w:rPr>
      </w:pPr>
      <w:r>
        <w:rPr>
          <w:rFonts w:hint="cs"/>
          <w:rtl/>
          <w:lang w:bidi="ar-LB"/>
        </w:rPr>
        <w:t xml:space="preserve">ولكن ما هو أيضًا مهم بأن نرى إلى أي مدى يمكن أن تصل نعمة الله وصليب </w:t>
      </w:r>
      <w:r w:rsidRPr="00273288">
        <w:rPr>
          <w:rFonts w:hint="cs"/>
          <w:rtl/>
          <w:lang w:bidi="ar-LB"/>
        </w:rPr>
        <w:t>المسيح</w:t>
      </w:r>
      <w:r>
        <w:rPr>
          <w:rFonts w:hint="cs"/>
          <w:rtl/>
          <w:lang w:bidi="ar-LB"/>
        </w:rPr>
        <w:t>.</w:t>
      </w:r>
      <w:r w:rsidR="00273288">
        <w:rPr>
          <w:rFonts w:hint="cs"/>
          <w:rtl/>
          <w:lang w:bidi="ar-LB"/>
        </w:rPr>
        <w:t xml:space="preserve"> فالله تمجد فيه ونزع من الإنسان كل عُذر. صحيح أن الناس يتشاجرون حول مشورات الله كما وحول عجز الإنسان بأنه لا يمكنه أن يؤمن دون أي تأثير إلهي. لكن تعليلاتهم تُري بأنهم ليسوا بحاجة لله؛ فلو أدركوا كم هو احتياجهم له فسيسر بأن يسمح لهم بأن يجدوه. إن نعمة الله وعمل المسيح الكفاري واسعة على قدر ما نشتهي. "كل مَن"، "كل"، "من يشاء" </w:t>
      </w:r>
      <w:r w:rsidR="00273288">
        <w:rPr>
          <w:rtl/>
          <w:lang w:bidi="ar-LB"/>
        </w:rPr>
        <w:t>–</w:t>
      </w:r>
      <w:r w:rsidR="00273288">
        <w:rPr>
          <w:rFonts w:hint="cs"/>
          <w:rtl/>
          <w:lang w:bidi="ar-LB"/>
        </w:rPr>
        <w:t xml:space="preserve"> هذه هي كلمات الله بذاته، ويسرني بأن أعرف مَن هو المستثنى عن ذلك. عندما يرسل الله للإنسان بشارة خلاص، فهو بالتالي يكون قاصدها له أيضًا، وكم هو شر بأن نرفض نعمة الله وأن نجعله "كاذبًا" (1. يوحنا 5: 10) </w:t>
      </w:r>
      <w:r w:rsidR="00233409">
        <w:rPr>
          <w:rFonts w:hint="cs"/>
          <w:rtl/>
          <w:lang w:bidi="ar-LB"/>
        </w:rPr>
        <w:t>ومن ثم نحتمي وراء مشوراته السرية كعُذر لهذا التصرف. فإنه من الأصدق إن قلنا: "أنا لا أصدق كلمة الله، وأنا لست أحتاج لا لنعمته ولا لخلاصه." فعندما يخفي الناس كراهيتهم لله وحقه بنقاب تعليم اللاهوت المتطرف تمامًا، فإنه شر. إنه يُشعرنا في الحقيقة بأن الشيطان لن يكون أكثر شيطنة من أن يأتينا بالكتاب المقدس في يده.</w:t>
      </w:r>
    </w:p>
    <w:p w14:paraId="41FEB8C0" w14:textId="02C40475" w:rsidR="00BC363C" w:rsidRDefault="00BC363C">
      <w:pPr>
        <w:rPr>
          <w:lang w:bidi="ar-LB"/>
        </w:rPr>
      </w:pPr>
      <w:r>
        <w:rPr>
          <w:rFonts w:hint="cs"/>
          <w:rtl/>
          <w:lang w:bidi="ar-LB"/>
        </w:rPr>
        <w:t xml:space="preserve">فلو صحّ الأمر بأن الإنسان سيُعاق بمشورات الله الخفية بأن يقبل الإنجيل الذي أخبره الله به، فكيف من الممكن أن يكون الله عادلاً ويعاقب ذلك الإنسان "بهلاك أبدي"، لأنه لم يُطع هذا الإنجيل (2. تسالونيكي 1: 6 </w:t>
      </w:r>
      <w:r>
        <w:rPr>
          <w:rtl/>
          <w:lang w:bidi="ar-LB"/>
        </w:rPr>
        <w:t>–</w:t>
      </w:r>
      <w:r>
        <w:rPr>
          <w:rFonts w:hint="cs"/>
          <w:rtl/>
          <w:lang w:bidi="ar-LB"/>
        </w:rPr>
        <w:t xml:space="preserve"> 10)؟ هل سيكون في أجواء الهالكين القاتمة نفسٌ تحمّل الله المسؤولية على وجودها هناك؟ يقينًا لا. فالله قد اهتم في عمل المسيح الكفاري اهتمامًا بالغًا</w:t>
      </w:r>
      <w:r w:rsidR="00D86065">
        <w:rPr>
          <w:rFonts w:hint="cs"/>
          <w:rtl/>
          <w:lang w:bidi="ar-LB"/>
        </w:rPr>
        <w:t xml:space="preserve"> إن كان لخلاص الذين يؤمنون، كما وأيضًا لإظهار نعمته للذين يرفضون الإنجيل، بحيث لا يتبقى أي عُذر لأي إنسان. ليس بأن الإنسان لا يمكنه أن يؤمن، وإنما لأنه لا يريد بأن يؤمن سيُعاقب "بهلاك أبدي". إن نعمة الله للجميع، وإن سألنا: كيف من الممكن هذا؟ فالجواب يكون: "قرعة الرب" وقعت على الذبيحة الحقيقية، لكيما يتمجد الله بأكبر قد ممكن من جهة الخطية وبالتالي يكون له مطلق الحرية بأن يتعامل مع الجميع بالمراحم وأن يسمح بنشر الإنجيل لكل الخليقة. هذه النعمة وهذه الكرازة لا بد وأن يكون لهما أساس لا يمكن المس به، وهذا الأساس موجود في عمل الكفارة. ومع أن الإنسان يرفضه، إلا أن الله سيتمجد بالكامل في ممارسته للنعمة كما وفي تقديمه للخلاص قوة الأساس المعتمد عليه كلاهما. إنه تمجّد وسيتمجّد عبر كل دهور الأبدية التي لن تنتهي (قارن يوحنا 12: 27 </w:t>
      </w:r>
      <w:r w:rsidR="00D86065">
        <w:rPr>
          <w:rtl/>
          <w:lang w:bidi="ar-LB"/>
        </w:rPr>
        <w:t>–</w:t>
      </w:r>
      <w:r w:rsidR="00D86065">
        <w:rPr>
          <w:rFonts w:hint="cs"/>
          <w:rtl/>
          <w:lang w:bidi="ar-LB"/>
        </w:rPr>
        <w:t xml:space="preserve"> 32).</w:t>
      </w:r>
    </w:p>
    <w:sectPr w:rsidR="00BC363C"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91"/>
    <w:rsid w:val="00051645"/>
    <w:rsid w:val="001325BA"/>
    <w:rsid w:val="00193F61"/>
    <w:rsid w:val="00233409"/>
    <w:rsid w:val="00273288"/>
    <w:rsid w:val="003B702A"/>
    <w:rsid w:val="004E3145"/>
    <w:rsid w:val="00597CA6"/>
    <w:rsid w:val="005C7D3F"/>
    <w:rsid w:val="0065628F"/>
    <w:rsid w:val="00AC2C41"/>
    <w:rsid w:val="00AF66B8"/>
    <w:rsid w:val="00BC363C"/>
    <w:rsid w:val="00BD77AC"/>
    <w:rsid w:val="00BE1B91"/>
    <w:rsid w:val="00CE3633"/>
    <w:rsid w:val="00D516CA"/>
    <w:rsid w:val="00D86065"/>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2155"/>
  <w15:chartTrackingRefBased/>
  <w15:docId w15:val="{F1959F92-427A-49A2-BCC8-9F1EFC471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B9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E1B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1B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1B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1B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1B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BE1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B9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E1B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E1B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1B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1B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1B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1B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1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9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E1B9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E1B91"/>
    <w:pPr>
      <w:spacing w:before="160"/>
      <w:jc w:val="center"/>
    </w:pPr>
    <w:rPr>
      <w:i/>
      <w:iCs/>
      <w:color w:val="404040" w:themeColor="text1" w:themeTint="BF"/>
    </w:rPr>
  </w:style>
  <w:style w:type="character" w:customStyle="1" w:styleId="QuoteChar">
    <w:name w:val="Quote Char"/>
    <w:basedOn w:val="DefaultParagraphFont"/>
    <w:link w:val="Quote"/>
    <w:uiPriority w:val="29"/>
    <w:rsid w:val="00BE1B91"/>
    <w:rPr>
      <w:i/>
      <w:iCs/>
      <w:color w:val="404040" w:themeColor="text1" w:themeTint="BF"/>
    </w:rPr>
  </w:style>
  <w:style w:type="paragraph" w:styleId="ListParagraph">
    <w:name w:val="List Paragraph"/>
    <w:basedOn w:val="Normal"/>
    <w:uiPriority w:val="34"/>
    <w:qFormat/>
    <w:rsid w:val="00BE1B91"/>
    <w:pPr>
      <w:ind w:left="720"/>
      <w:contextualSpacing/>
    </w:pPr>
  </w:style>
  <w:style w:type="character" w:styleId="IntenseEmphasis">
    <w:name w:val="Intense Emphasis"/>
    <w:basedOn w:val="DefaultParagraphFont"/>
    <w:uiPriority w:val="21"/>
    <w:qFormat/>
    <w:rsid w:val="00BE1B91"/>
    <w:rPr>
      <w:i/>
      <w:iCs/>
      <w:color w:val="0F4761" w:themeColor="accent1" w:themeShade="BF"/>
    </w:rPr>
  </w:style>
  <w:style w:type="paragraph" w:styleId="IntenseQuote">
    <w:name w:val="Intense Quote"/>
    <w:basedOn w:val="Normal"/>
    <w:next w:val="Normal"/>
    <w:link w:val="IntenseQuoteChar"/>
    <w:uiPriority w:val="30"/>
    <w:qFormat/>
    <w:rsid w:val="00BE1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91"/>
    <w:rPr>
      <w:i/>
      <w:iCs/>
      <w:color w:val="0F4761" w:themeColor="accent1" w:themeShade="BF"/>
    </w:rPr>
  </w:style>
  <w:style w:type="character" w:styleId="IntenseReference">
    <w:name w:val="Intense Reference"/>
    <w:basedOn w:val="DefaultParagraphFont"/>
    <w:uiPriority w:val="32"/>
    <w:qFormat/>
    <w:rsid w:val="00BE1B91"/>
    <w:rPr>
      <w:b/>
      <w:bCs/>
      <w:smallCaps/>
      <w:color w:val="0F4761" w:themeColor="accent1" w:themeShade="BF"/>
      <w:spacing w:val="5"/>
    </w:rPr>
  </w:style>
  <w:style w:type="character" w:styleId="Hyperlink">
    <w:name w:val="Hyperlink"/>
    <w:basedOn w:val="DefaultParagraphFont"/>
    <w:uiPriority w:val="99"/>
    <w:unhideWhenUsed/>
    <w:rsid w:val="00597CA6"/>
    <w:rPr>
      <w:color w:val="467886" w:themeColor="hyperlink"/>
      <w:u w:val="single"/>
    </w:rPr>
  </w:style>
  <w:style w:type="character" w:styleId="UnresolvedMention">
    <w:name w:val="Unresolved Mention"/>
    <w:basedOn w:val="DefaultParagraphFont"/>
    <w:uiPriority w:val="99"/>
    <w:semiHidden/>
    <w:unhideWhenUsed/>
    <w:rsid w:val="00597CA6"/>
    <w:rPr>
      <w:color w:val="605E5C"/>
      <w:shd w:val="clear" w:color="auto" w:fill="E1DFDD"/>
    </w:rPr>
  </w:style>
  <w:style w:type="character" w:styleId="FollowedHyperlink">
    <w:name w:val="FollowedHyperlink"/>
    <w:basedOn w:val="DefaultParagraphFont"/>
    <w:uiPriority w:val="99"/>
    <w:semiHidden/>
    <w:unhideWhenUsed/>
    <w:rsid w:val="002732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auserwaehlung-und-der-ratschluss-gottes-a6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8</cp:revision>
  <dcterms:created xsi:type="dcterms:W3CDTF">2025-10-27T19:08:00Z</dcterms:created>
  <dcterms:modified xsi:type="dcterms:W3CDTF">2025-10-27T20:07:00Z</dcterms:modified>
</cp:coreProperties>
</file>