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7B65BD" w14:textId="5EB0EDF7" w:rsidR="00BE011D" w:rsidRDefault="00000000">
      <w:pPr>
        <w:rPr>
          <w:rtl/>
        </w:rPr>
      </w:pPr>
      <w:r>
        <w:fldChar w:fldCharType="begin"/>
      </w:r>
      <w:r>
        <w:instrText>HYPERLINK "https://www.bibelstudium.de/articles/5998/gedanken-zu-hebraeer-11.html"</w:instrText>
      </w:r>
      <w:r>
        <w:fldChar w:fldCharType="separate"/>
      </w:r>
      <w:r w:rsidR="000012BE" w:rsidRPr="00E3760F">
        <w:rPr>
          <w:rStyle w:val="Hyperlink"/>
          <w:rFonts w:hint="cs"/>
          <w:rtl/>
        </w:rPr>
        <w:t>أفكار في عبرانيين 11</w:t>
      </w:r>
      <w:r>
        <w:rPr>
          <w:rStyle w:val="Hyperlink"/>
        </w:rPr>
        <w:fldChar w:fldCharType="end"/>
      </w:r>
    </w:p>
    <w:p w14:paraId="40F512F6" w14:textId="5D31CDD4" w:rsidR="000012BE" w:rsidRDefault="000012BE" w:rsidP="000012BE">
      <w:pPr>
        <w:bidi w:val="0"/>
      </w:pPr>
      <w:r w:rsidRPr="000012BE">
        <w:t xml:space="preserve">Daniel </w:t>
      </w:r>
      <w:proofErr w:type="spellStart"/>
      <w:r w:rsidRPr="000012BE">
        <w:t>Melui</w:t>
      </w:r>
      <w:proofErr w:type="spellEnd"/>
    </w:p>
    <w:p w14:paraId="39232A04" w14:textId="638BC410" w:rsidR="000012BE" w:rsidRDefault="00E3760F">
      <w:pPr>
        <w:rPr>
          <w:rtl/>
        </w:rPr>
      </w:pPr>
      <w:r>
        <w:rPr>
          <w:rFonts w:hint="cs"/>
          <w:rtl/>
        </w:rPr>
        <w:t>هذا الإصحاح يعرض الواقع بأن البار بالإيمان سيحيا (إصحاح 10: 38). هو لا يرينا تحديدًا ما هو الإيمان وإنما ما الذي يفعله (إصحاح 11: 1): هو ينظر إلى الأمام (إنه "تحقيق ما نرجوه")، لكنه أيضًا ينظر إلى فوق (إنه "الاقتناع بأمور لا نراها"). الإيمان فعّال ونشيط. هذا نميزه أيضًا في تقسيم الإصحاح:</w:t>
      </w:r>
    </w:p>
    <w:p w14:paraId="03ED7D2C" w14:textId="1495F307" w:rsidR="00E3760F" w:rsidRDefault="00E3760F" w:rsidP="00E3760F">
      <w:pPr>
        <w:pStyle w:val="ListParagraph"/>
        <w:numPr>
          <w:ilvl w:val="0"/>
          <w:numId w:val="1"/>
        </w:numPr>
      </w:pPr>
      <w:r>
        <w:rPr>
          <w:rFonts w:hint="cs"/>
          <w:rtl/>
        </w:rPr>
        <w:t xml:space="preserve">هو يخلص: عدد 4 </w:t>
      </w:r>
      <w:r>
        <w:rPr>
          <w:rtl/>
        </w:rPr>
        <w:t>–</w:t>
      </w:r>
      <w:r>
        <w:rPr>
          <w:rFonts w:hint="cs"/>
          <w:rtl/>
        </w:rPr>
        <w:t xml:space="preserve"> 7.</w:t>
      </w:r>
    </w:p>
    <w:p w14:paraId="579912C8" w14:textId="125B4D74" w:rsidR="00E3760F" w:rsidRDefault="00E3760F" w:rsidP="00E3760F">
      <w:pPr>
        <w:pStyle w:val="ListParagraph"/>
        <w:numPr>
          <w:ilvl w:val="0"/>
          <w:numId w:val="1"/>
        </w:numPr>
      </w:pPr>
      <w:r>
        <w:rPr>
          <w:rFonts w:hint="cs"/>
          <w:rtl/>
        </w:rPr>
        <w:t xml:space="preserve">هو ينتظر: عدد 8 </w:t>
      </w:r>
      <w:r>
        <w:rPr>
          <w:rtl/>
        </w:rPr>
        <w:t>–</w:t>
      </w:r>
      <w:r>
        <w:rPr>
          <w:rFonts w:hint="cs"/>
          <w:rtl/>
        </w:rPr>
        <w:t xml:space="preserve"> 16.</w:t>
      </w:r>
    </w:p>
    <w:p w14:paraId="53B719DB" w14:textId="4F8D49B5" w:rsidR="00E3760F" w:rsidRDefault="00E3760F" w:rsidP="00E3760F">
      <w:pPr>
        <w:pStyle w:val="ListParagraph"/>
        <w:numPr>
          <w:ilvl w:val="0"/>
          <w:numId w:val="1"/>
        </w:numPr>
      </w:pPr>
      <w:r>
        <w:rPr>
          <w:rFonts w:hint="cs"/>
          <w:rtl/>
        </w:rPr>
        <w:t xml:space="preserve">هو ينظر: عدد 17 </w:t>
      </w:r>
      <w:r>
        <w:rPr>
          <w:rtl/>
        </w:rPr>
        <w:t>–</w:t>
      </w:r>
      <w:r>
        <w:rPr>
          <w:rFonts w:hint="cs"/>
          <w:rtl/>
        </w:rPr>
        <w:t xml:space="preserve"> 22.</w:t>
      </w:r>
    </w:p>
    <w:p w14:paraId="7A5190F2" w14:textId="010200C4" w:rsidR="00E3760F" w:rsidRDefault="00E3760F" w:rsidP="00E3760F">
      <w:pPr>
        <w:pStyle w:val="ListParagraph"/>
        <w:numPr>
          <w:ilvl w:val="0"/>
          <w:numId w:val="1"/>
        </w:numPr>
      </w:pPr>
      <w:r>
        <w:rPr>
          <w:rFonts w:hint="cs"/>
          <w:rtl/>
        </w:rPr>
        <w:t xml:space="preserve">هو يغلب: عدد 23 </w:t>
      </w:r>
      <w:r>
        <w:rPr>
          <w:rtl/>
        </w:rPr>
        <w:t>–</w:t>
      </w:r>
      <w:r>
        <w:rPr>
          <w:rFonts w:hint="cs"/>
          <w:rtl/>
        </w:rPr>
        <w:t xml:space="preserve"> 31.</w:t>
      </w:r>
    </w:p>
    <w:p w14:paraId="44E41FF1" w14:textId="41C57940" w:rsidR="00E3760F" w:rsidRDefault="00E3760F" w:rsidP="00E3760F">
      <w:pPr>
        <w:pStyle w:val="ListParagraph"/>
        <w:numPr>
          <w:ilvl w:val="0"/>
          <w:numId w:val="1"/>
        </w:numPr>
      </w:pPr>
      <w:r>
        <w:rPr>
          <w:rFonts w:hint="cs"/>
          <w:rtl/>
        </w:rPr>
        <w:t xml:space="preserve">هو يتألم: عدد 32 </w:t>
      </w:r>
      <w:r>
        <w:rPr>
          <w:rtl/>
        </w:rPr>
        <w:t>–</w:t>
      </w:r>
      <w:r>
        <w:rPr>
          <w:rFonts w:hint="cs"/>
          <w:rtl/>
        </w:rPr>
        <w:t xml:space="preserve"> 38.</w:t>
      </w:r>
    </w:p>
    <w:p w14:paraId="4FC9657D" w14:textId="61196D23" w:rsidR="00E3760F" w:rsidRDefault="00E3760F" w:rsidP="00E3760F">
      <w:pPr>
        <w:rPr>
          <w:rtl/>
        </w:rPr>
      </w:pPr>
      <w:r>
        <w:rPr>
          <w:rFonts w:hint="cs"/>
          <w:rtl/>
        </w:rPr>
        <w:t xml:space="preserve">إن الوقت لم يفُت أبدًا بأن نسلك بالإيمان. هذا نراه في اسحق، يعقوب ويوسف (عدد 20 </w:t>
      </w:r>
      <w:r>
        <w:rPr>
          <w:rtl/>
        </w:rPr>
        <w:t>–</w:t>
      </w:r>
      <w:r>
        <w:rPr>
          <w:rFonts w:hint="cs"/>
          <w:rtl/>
        </w:rPr>
        <w:t xml:space="preserve"> 22). لقد لمع إيمانهم في نهاية حياتهم بالذات؛ فحتى مع يعقوب ويوسف كان هذا في سرير موتهم. وإن اقتربنا بنظرنا أكثر من أعمال إيمانهم فسنلاحظ بأنه</w:t>
      </w:r>
      <w:r w:rsidR="00904DC9">
        <w:rPr>
          <w:rFonts w:hint="cs"/>
          <w:rtl/>
        </w:rPr>
        <w:t xml:space="preserve">ا لم تكن أعمالاً بطولية كبيرة التي عملوها. اسحق ويعقوب باركا أبنائهم، يوسف أعطى أمرًا بخصوص عظامه. نحن نتعلم من هذا: حتى الأمور الصغيرة، البسيطة </w:t>
      </w:r>
      <w:r w:rsidR="00904DC9">
        <w:rPr>
          <w:rtl/>
        </w:rPr>
        <w:t>–</w:t>
      </w:r>
      <w:r w:rsidR="00904DC9">
        <w:rPr>
          <w:rFonts w:hint="cs"/>
          <w:rtl/>
        </w:rPr>
        <w:t xml:space="preserve"> المعمولة بالإيمان </w:t>
      </w:r>
      <w:r w:rsidR="00904DC9">
        <w:rPr>
          <w:rtl/>
        </w:rPr>
        <w:t>–</w:t>
      </w:r>
      <w:r w:rsidR="00904DC9">
        <w:rPr>
          <w:rFonts w:hint="cs"/>
          <w:rtl/>
        </w:rPr>
        <w:t xml:space="preserve"> يكتب الله فيها ملاحظاته وباستطاعته أيضًا أن </w:t>
      </w:r>
      <w:r w:rsidR="00604EF1">
        <w:rPr>
          <w:rFonts w:hint="cs"/>
          <w:rtl/>
        </w:rPr>
        <w:t>يُخرج منها</w:t>
      </w:r>
      <w:r w:rsidR="00904DC9">
        <w:rPr>
          <w:rFonts w:hint="cs"/>
          <w:rtl/>
        </w:rPr>
        <w:t xml:space="preserve"> أمورًا عظيمة.</w:t>
      </w:r>
    </w:p>
    <w:p w14:paraId="277CD2E6" w14:textId="096D938E" w:rsidR="00604EF1" w:rsidRDefault="00604EF1" w:rsidP="00E3760F">
      <w:pPr>
        <w:rPr>
          <w:rtl/>
        </w:rPr>
      </w:pPr>
      <w:r>
        <w:rPr>
          <w:rFonts w:hint="cs"/>
          <w:rtl/>
        </w:rPr>
        <w:t xml:space="preserve">في الأعداد 23 </w:t>
      </w:r>
      <w:r>
        <w:rPr>
          <w:rtl/>
        </w:rPr>
        <w:t>–</w:t>
      </w:r>
      <w:r>
        <w:rPr>
          <w:rFonts w:hint="cs"/>
          <w:rtl/>
        </w:rPr>
        <w:t xml:space="preserve"> 31 يتكلم بصورة خاصة عن الإيمان الذي يغلب. في كل آية من الآيات يرينا كل ما يستطيع الإيمان أن يغلبه:</w:t>
      </w:r>
    </w:p>
    <w:p w14:paraId="4BC2777E" w14:textId="04FF8E10" w:rsidR="00604EF1" w:rsidRDefault="00604EF1" w:rsidP="00604EF1">
      <w:pPr>
        <w:pStyle w:val="ListParagraph"/>
        <w:numPr>
          <w:ilvl w:val="0"/>
          <w:numId w:val="1"/>
        </w:numPr>
      </w:pPr>
      <w:r>
        <w:rPr>
          <w:rFonts w:hint="cs"/>
          <w:rtl/>
        </w:rPr>
        <w:t>هو يغلب الخوف (عدد 23)</w:t>
      </w:r>
    </w:p>
    <w:p w14:paraId="4618BFC2" w14:textId="20FA60D8" w:rsidR="00604EF1" w:rsidRDefault="00604EF1" w:rsidP="00604EF1">
      <w:pPr>
        <w:pStyle w:val="ListParagraph"/>
        <w:numPr>
          <w:ilvl w:val="0"/>
          <w:numId w:val="1"/>
        </w:numPr>
      </w:pPr>
      <w:r w:rsidRPr="00604EF1">
        <w:rPr>
          <w:rtl/>
        </w:rPr>
        <w:t xml:space="preserve">هو يغلب </w:t>
      </w:r>
      <w:r>
        <w:rPr>
          <w:rFonts w:hint="cs"/>
          <w:rtl/>
        </w:rPr>
        <w:t>محبة العالم</w:t>
      </w:r>
      <w:r w:rsidRPr="00604EF1">
        <w:rPr>
          <w:rtl/>
        </w:rPr>
        <w:t xml:space="preserve"> (عدد </w:t>
      </w:r>
      <w:r>
        <w:rPr>
          <w:rFonts w:hint="cs"/>
          <w:rtl/>
        </w:rPr>
        <w:t>24</w:t>
      </w:r>
      <w:r w:rsidRPr="00604EF1">
        <w:rPr>
          <w:rtl/>
        </w:rPr>
        <w:t>)</w:t>
      </w:r>
    </w:p>
    <w:p w14:paraId="2542A3C9" w14:textId="38FC1487" w:rsidR="00604EF1" w:rsidRPr="00604EF1" w:rsidRDefault="00604EF1" w:rsidP="00604EF1">
      <w:pPr>
        <w:pStyle w:val="ListParagraph"/>
        <w:numPr>
          <w:ilvl w:val="0"/>
          <w:numId w:val="1"/>
        </w:numPr>
        <w:rPr>
          <w:rtl/>
        </w:rPr>
      </w:pPr>
      <w:r w:rsidRPr="00604EF1">
        <w:rPr>
          <w:rtl/>
        </w:rPr>
        <w:t xml:space="preserve">هو يغلب </w:t>
      </w:r>
      <w:r>
        <w:rPr>
          <w:rFonts w:hint="cs"/>
          <w:rtl/>
        </w:rPr>
        <w:t>مغريات العالم</w:t>
      </w:r>
      <w:r w:rsidRPr="00604EF1">
        <w:rPr>
          <w:rtl/>
        </w:rPr>
        <w:t xml:space="preserve"> (عدد </w:t>
      </w:r>
      <w:r>
        <w:rPr>
          <w:rFonts w:hint="cs"/>
          <w:rtl/>
        </w:rPr>
        <w:t>25</w:t>
      </w:r>
      <w:r w:rsidRPr="00604EF1">
        <w:rPr>
          <w:rtl/>
        </w:rPr>
        <w:t>)</w:t>
      </w:r>
    </w:p>
    <w:p w14:paraId="368E84E0" w14:textId="5C2CB7BA" w:rsidR="00604EF1" w:rsidRPr="00604EF1" w:rsidRDefault="00604EF1" w:rsidP="00604EF1">
      <w:pPr>
        <w:pStyle w:val="ListParagraph"/>
        <w:numPr>
          <w:ilvl w:val="0"/>
          <w:numId w:val="1"/>
        </w:numPr>
        <w:rPr>
          <w:rtl/>
        </w:rPr>
      </w:pPr>
      <w:r w:rsidRPr="00604EF1">
        <w:rPr>
          <w:rtl/>
        </w:rPr>
        <w:t xml:space="preserve">هو يغلب </w:t>
      </w:r>
      <w:r>
        <w:rPr>
          <w:rFonts w:hint="cs"/>
          <w:rtl/>
        </w:rPr>
        <w:t xml:space="preserve">غنى </w:t>
      </w:r>
      <w:proofErr w:type="gramStart"/>
      <w:r>
        <w:rPr>
          <w:rFonts w:hint="cs"/>
          <w:rtl/>
        </w:rPr>
        <w:t xml:space="preserve">العالم </w:t>
      </w:r>
      <w:r w:rsidRPr="00604EF1">
        <w:rPr>
          <w:rtl/>
        </w:rPr>
        <w:t xml:space="preserve"> (</w:t>
      </w:r>
      <w:proofErr w:type="gramEnd"/>
      <w:r w:rsidRPr="00604EF1">
        <w:rPr>
          <w:rtl/>
        </w:rPr>
        <w:t xml:space="preserve">عدد </w:t>
      </w:r>
      <w:r>
        <w:rPr>
          <w:rFonts w:hint="cs"/>
          <w:rtl/>
        </w:rPr>
        <w:t>26</w:t>
      </w:r>
      <w:r w:rsidRPr="00604EF1">
        <w:rPr>
          <w:rtl/>
        </w:rPr>
        <w:t>)</w:t>
      </w:r>
    </w:p>
    <w:p w14:paraId="76F093D0" w14:textId="2CE911FC" w:rsidR="00604EF1" w:rsidRPr="00604EF1" w:rsidRDefault="00604EF1" w:rsidP="00604EF1">
      <w:pPr>
        <w:pStyle w:val="ListParagraph"/>
        <w:numPr>
          <w:ilvl w:val="0"/>
          <w:numId w:val="1"/>
        </w:numPr>
        <w:rPr>
          <w:rtl/>
        </w:rPr>
      </w:pPr>
      <w:r w:rsidRPr="00604EF1">
        <w:rPr>
          <w:rtl/>
        </w:rPr>
        <w:t xml:space="preserve">هو يغلب </w:t>
      </w:r>
      <w:r>
        <w:rPr>
          <w:rFonts w:hint="cs"/>
          <w:rtl/>
        </w:rPr>
        <w:t>عداوة</w:t>
      </w:r>
      <w:r w:rsidRPr="00604EF1">
        <w:rPr>
          <w:rtl/>
        </w:rPr>
        <w:t xml:space="preserve"> </w:t>
      </w:r>
      <w:proofErr w:type="gramStart"/>
      <w:r w:rsidRPr="00604EF1">
        <w:rPr>
          <w:rtl/>
        </w:rPr>
        <w:t>العالم  (</w:t>
      </w:r>
      <w:proofErr w:type="gramEnd"/>
      <w:r w:rsidRPr="00604EF1">
        <w:rPr>
          <w:rtl/>
        </w:rPr>
        <w:t xml:space="preserve">عدد </w:t>
      </w:r>
      <w:r>
        <w:rPr>
          <w:rFonts w:hint="cs"/>
          <w:rtl/>
        </w:rPr>
        <w:t>27</w:t>
      </w:r>
      <w:r w:rsidRPr="00604EF1">
        <w:rPr>
          <w:rtl/>
        </w:rPr>
        <w:t>)</w:t>
      </w:r>
    </w:p>
    <w:p w14:paraId="06934A93" w14:textId="3AEBDD60" w:rsidR="00604EF1" w:rsidRPr="00604EF1" w:rsidRDefault="00604EF1" w:rsidP="00604EF1">
      <w:pPr>
        <w:pStyle w:val="ListParagraph"/>
        <w:numPr>
          <w:ilvl w:val="0"/>
          <w:numId w:val="1"/>
        </w:numPr>
        <w:rPr>
          <w:rtl/>
        </w:rPr>
      </w:pPr>
      <w:r w:rsidRPr="00604EF1">
        <w:rPr>
          <w:rtl/>
        </w:rPr>
        <w:t xml:space="preserve">هو يغلب </w:t>
      </w:r>
      <w:r>
        <w:rPr>
          <w:rFonts w:hint="cs"/>
          <w:rtl/>
        </w:rPr>
        <w:t>مفسد</w:t>
      </w:r>
      <w:r w:rsidRPr="00604EF1">
        <w:rPr>
          <w:rtl/>
        </w:rPr>
        <w:t xml:space="preserve"> </w:t>
      </w:r>
      <w:proofErr w:type="gramStart"/>
      <w:r w:rsidRPr="00604EF1">
        <w:rPr>
          <w:rtl/>
        </w:rPr>
        <w:t>العالم  (</w:t>
      </w:r>
      <w:proofErr w:type="gramEnd"/>
      <w:r w:rsidRPr="00604EF1">
        <w:rPr>
          <w:rtl/>
        </w:rPr>
        <w:t xml:space="preserve">عدد </w:t>
      </w:r>
      <w:r>
        <w:rPr>
          <w:rFonts w:hint="cs"/>
          <w:rtl/>
        </w:rPr>
        <w:t>28</w:t>
      </w:r>
      <w:r w:rsidRPr="00604EF1">
        <w:rPr>
          <w:rtl/>
        </w:rPr>
        <w:t>)</w:t>
      </w:r>
    </w:p>
    <w:p w14:paraId="15F695B6" w14:textId="72FC1DCE" w:rsidR="00604EF1" w:rsidRPr="00604EF1" w:rsidRDefault="00604EF1" w:rsidP="00604EF1">
      <w:pPr>
        <w:pStyle w:val="ListParagraph"/>
        <w:numPr>
          <w:ilvl w:val="0"/>
          <w:numId w:val="1"/>
        </w:numPr>
        <w:rPr>
          <w:rtl/>
        </w:rPr>
      </w:pPr>
      <w:r w:rsidRPr="00604EF1">
        <w:rPr>
          <w:rtl/>
        </w:rPr>
        <w:t xml:space="preserve">هو يغلب </w:t>
      </w:r>
      <w:r>
        <w:rPr>
          <w:rFonts w:hint="cs"/>
          <w:rtl/>
        </w:rPr>
        <w:t xml:space="preserve">معوقات لا </w:t>
      </w:r>
      <w:proofErr w:type="gramStart"/>
      <w:r>
        <w:rPr>
          <w:rFonts w:hint="cs"/>
          <w:rtl/>
        </w:rPr>
        <w:t>تُقهر</w:t>
      </w:r>
      <w:r w:rsidRPr="00604EF1">
        <w:rPr>
          <w:rtl/>
        </w:rPr>
        <w:t xml:space="preserve">  (</w:t>
      </w:r>
      <w:proofErr w:type="gramEnd"/>
      <w:r w:rsidRPr="00604EF1">
        <w:rPr>
          <w:rtl/>
        </w:rPr>
        <w:t xml:space="preserve">عدد </w:t>
      </w:r>
      <w:r>
        <w:rPr>
          <w:rFonts w:hint="cs"/>
          <w:rtl/>
        </w:rPr>
        <w:t>29</w:t>
      </w:r>
      <w:r w:rsidRPr="00604EF1">
        <w:rPr>
          <w:rtl/>
        </w:rPr>
        <w:t>)</w:t>
      </w:r>
    </w:p>
    <w:p w14:paraId="2D10B68C" w14:textId="04F359F0" w:rsidR="00604EF1" w:rsidRPr="00604EF1" w:rsidRDefault="00604EF1" w:rsidP="00604EF1">
      <w:pPr>
        <w:pStyle w:val="ListParagraph"/>
        <w:numPr>
          <w:ilvl w:val="0"/>
          <w:numId w:val="1"/>
        </w:numPr>
        <w:rPr>
          <w:rtl/>
        </w:rPr>
      </w:pPr>
      <w:r w:rsidRPr="00604EF1">
        <w:rPr>
          <w:rtl/>
        </w:rPr>
        <w:t xml:space="preserve">هو يغلب </w:t>
      </w:r>
      <w:r>
        <w:rPr>
          <w:rFonts w:hint="cs"/>
          <w:rtl/>
        </w:rPr>
        <w:t>سلطة</w:t>
      </w:r>
      <w:r w:rsidRPr="00604EF1">
        <w:rPr>
          <w:rtl/>
        </w:rPr>
        <w:t xml:space="preserve"> </w:t>
      </w:r>
      <w:proofErr w:type="gramStart"/>
      <w:r w:rsidRPr="00604EF1">
        <w:rPr>
          <w:rtl/>
        </w:rPr>
        <w:t>العالم  (</w:t>
      </w:r>
      <w:proofErr w:type="gramEnd"/>
      <w:r w:rsidRPr="00604EF1">
        <w:rPr>
          <w:rtl/>
        </w:rPr>
        <w:t xml:space="preserve">عدد </w:t>
      </w:r>
      <w:r>
        <w:rPr>
          <w:rFonts w:hint="cs"/>
          <w:rtl/>
        </w:rPr>
        <w:t>30</w:t>
      </w:r>
      <w:r w:rsidRPr="00604EF1">
        <w:rPr>
          <w:rtl/>
        </w:rPr>
        <w:t>)</w:t>
      </w:r>
    </w:p>
    <w:p w14:paraId="5AF9B37C" w14:textId="276A8F0F" w:rsidR="00604EF1" w:rsidRDefault="00604EF1" w:rsidP="00604EF1">
      <w:pPr>
        <w:pStyle w:val="ListParagraph"/>
        <w:numPr>
          <w:ilvl w:val="0"/>
          <w:numId w:val="1"/>
        </w:numPr>
      </w:pPr>
      <w:r w:rsidRPr="00604EF1">
        <w:rPr>
          <w:rtl/>
        </w:rPr>
        <w:t xml:space="preserve">هو يغلب </w:t>
      </w:r>
      <w:r>
        <w:rPr>
          <w:rFonts w:hint="cs"/>
          <w:rtl/>
        </w:rPr>
        <w:t>عدم الإيمان</w:t>
      </w:r>
      <w:r w:rsidRPr="00604EF1">
        <w:rPr>
          <w:rtl/>
        </w:rPr>
        <w:t xml:space="preserve"> (عدد </w:t>
      </w:r>
      <w:r>
        <w:rPr>
          <w:rFonts w:hint="cs"/>
          <w:rtl/>
        </w:rPr>
        <w:t>31</w:t>
      </w:r>
      <w:r w:rsidRPr="00604EF1">
        <w:rPr>
          <w:rtl/>
        </w:rPr>
        <w:t>)</w:t>
      </w:r>
    </w:p>
    <w:p w14:paraId="06BECCD5" w14:textId="62EE15E2" w:rsidR="00604EF1" w:rsidRDefault="00604EF1" w:rsidP="00604EF1">
      <w:pPr>
        <w:rPr>
          <w:rtl/>
        </w:rPr>
      </w:pPr>
      <w:r>
        <w:rPr>
          <w:rFonts w:hint="cs"/>
          <w:rtl/>
        </w:rPr>
        <w:t xml:space="preserve">بينما نلاحظ في إبراهيم صبر الإيمان (عدد 8 </w:t>
      </w:r>
      <w:r>
        <w:rPr>
          <w:rtl/>
        </w:rPr>
        <w:t>–</w:t>
      </w:r>
      <w:r>
        <w:rPr>
          <w:rFonts w:hint="cs"/>
          <w:rtl/>
        </w:rPr>
        <w:t xml:space="preserve"> 19)، نرى في موسى ما هو أكثر طاقة الإيمان (عدد 23 </w:t>
      </w:r>
      <w:r>
        <w:rPr>
          <w:rtl/>
        </w:rPr>
        <w:t>–</w:t>
      </w:r>
      <w:r>
        <w:rPr>
          <w:rFonts w:hint="cs"/>
          <w:rtl/>
        </w:rPr>
        <w:t xml:space="preserve"> 28). كابن ابنة فرعون كان موسى خليف العرش الشرعي. وقد مثلت أمامه حياة لامعة بكل ما فيها. غير أنه بالإيمان اختار مفضلاً بأن يتألم في عارِ شعب الله (عدد 24، 25). النقاط التالية أود بأن أبرزها في هذا السياق:</w:t>
      </w:r>
    </w:p>
    <w:p w14:paraId="62CA5C50" w14:textId="1F1D12C7" w:rsidR="00604EF1" w:rsidRDefault="00F63B51" w:rsidP="00604EF1">
      <w:pPr>
        <w:pStyle w:val="ListParagraph"/>
        <w:numPr>
          <w:ilvl w:val="0"/>
          <w:numId w:val="1"/>
        </w:numPr>
      </w:pPr>
      <w:r>
        <w:rPr>
          <w:rFonts w:hint="cs"/>
          <w:rtl/>
        </w:rPr>
        <w:t>موسى لم يأبه بالظروف: لقد كان بإمكانه أن يجادل بكل حق بأن الله وضعه في عنايته الإلهية في قصر فرعون (ابنة فرعون انتشلته من مياه النيل) ولأجل ذلك كان قريبًا من أن يقبل الظروف التي كانت من الله. غير أنه رفضها بالإيمان.</w:t>
      </w:r>
    </w:p>
    <w:p w14:paraId="3966275F" w14:textId="4045F117" w:rsidR="00F63B51" w:rsidRDefault="00F63B51" w:rsidP="00604EF1">
      <w:pPr>
        <w:pStyle w:val="ListParagraph"/>
        <w:numPr>
          <w:ilvl w:val="0"/>
          <w:numId w:val="1"/>
        </w:numPr>
      </w:pPr>
      <w:r>
        <w:rPr>
          <w:rFonts w:hint="cs"/>
          <w:rtl/>
        </w:rPr>
        <w:t>هو لم يجعل نفسه تنقاد بعواطفه: كإعادة الفضل لابنة فرعون في أنها أنقذته من النيل كان من الممكن أن يضع حياته في خدمة مصر. غير أنه هذا أيضًا لم يفعله.</w:t>
      </w:r>
    </w:p>
    <w:p w14:paraId="563ECDCE" w14:textId="2FF0273A" w:rsidR="00F63B51" w:rsidRDefault="00F63B51" w:rsidP="00604EF1">
      <w:pPr>
        <w:pStyle w:val="ListParagraph"/>
        <w:numPr>
          <w:ilvl w:val="0"/>
          <w:numId w:val="1"/>
        </w:numPr>
      </w:pPr>
      <w:r>
        <w:rPr>
          <w:rFonts w:hint="cs"/>
          <w:rtl/>
        </w:rPr>
        <w:t xml:space="preserve">هو لم يتبع أفكار عقله: إنه كذلك كان من الممكن أن يخرج بقرار أن يستخدم منصبه كولي العرش لخير شعب إسرائيل. غير أنه هذا أيضًا رفضه بالإيمان وفضّل أن يختار بأن </w:t>
      </w:r>
      <w:r w:rsidR="00541453">
        <w:rPr>
          <w:rFonts w:hint="cs"/>
          <w:rtl/>
        </w:rPr>
        <w:t>يُذل مع عار</w:t>
      </w:r>
      <w:r>
        <w:rPr>
          <w:rFonts w:hint="cs"/>
          <w:rtl/>
        </w:rPr>
        <w:t xml:space="preserve"> شعب الله.</w:t>
      </w:r>
    </w:p>
    <w:sectPr w:rsidR="00F63B51" w:rsidSect="005625FE">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4F45AD"/>
    <w:multiLevelType w:val="hybridMultilevel"/>
    <w:tmpl w:val="D054AFDE"/>
    <w:lvl w:ilvl="0" w:tplc="FCE2FAEC">
      <w:numFmt w:val="bullet"/>
      <w:lvlText w:val=""/>
      <w:lvlJc w:val="left"/>
      <w:pPr>
        <w:ind w:left="720" w:hanging="360"/>
      </w:pPr>
      <w:rPr>
        <w:rFonts w:ascii="Symbol" w:eastAsiaTheme="minorHAnsi" w:hAnsi="Symbol" w:cs="Sakkal Majall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682793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2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12BE"/>
    <w:rsid w:val="000012BE"/>
    <w:rsid w:val="00284D92"/>
    <w:rsid w:val="00541453"/>
    <w:rsid w:val="005625FE"/>
    <w:rsid w:val="00604EF1"/>
    <w:rsid w:val="00904DC9"/>
    <w:rsid w:val="00BE011D"/>
    <w:rsid w:val="00E03FA1"/>
    <w:rsid w:val="00E3760F"/>
    <w:rsid w:val="00F63B5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CBCECE"/>
  <w15:chartTrackingRefBased/>
  <w15:docId w15:val="{D83DAAC9-FE8F-45D6-A1F1-763AC314A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sz w:val="28"/>
        <w:szCs w:val="28"/>
        <w:lang w:val="en-US" w:eastAsia="en-US" w:bidi="he-I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3760F"/>
    <w:rPr>
      <w:color w:val="0563C1" w:themeColor="hyperlink"/>
      <w:u w:val="single"/>
    </w:rPr>
  </w:style>
  <w:style w:type="character" w:styleId="UnresolvedMention">
    <w:name w:val="Unresolved Mention"/>
    <w:basedOn w:val="DefaultParagraphFont"/>
    <w:uiPriority w:val="99"/>
    <w:semiHidden/>
    <w:unhideWhenUsed/>
    <w:rsid w:val="00E3760F"/>
    <w:rPr>
      <w:color w:val="605E5C"/>
      <w:shd w:val="clear" w:color="auto" w:fill="E1DFDD"/>
    </w:rPr>
  </w:style>
  <w:style w:type="paragraph" w:styleId="ListParagraph">
    <w:name w:val="List Paragraph"/>
    <w:basedOn w:val="Normal"/>
    <w:uiPriority w:val="34"/>
    <w:qFormat/>
    <w:rsid w:val="00E3760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TotalTime>
  <Pages>1</Pages>
  <Words>328</Words>
  <Characters>1871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איבט סלייח</dc:creator>
  <cp:keywords/>
  <dc:description/>
  <cp:lastModifiedBy>Osama Slaieh</cp:lastModifiedBy>
  <cp:revision>8</cp:revision>
  <dcterms:created xsi:type="dcterms:W3CDTF">2023-01-19T19:55:00Z</dcterms:created>
  <dcterms:modified xsi:type="dcterms:W3CDTF">2024-01-14T09:40:00Z</dcterms:modified>
</cp:coreProperties>
</file>