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8071C" w14:textId="2FE96BF7" w:rsidR="00AF6FE2" w:rsidRDefault="00594D4E">
      <w:pPr>
        <w:rPr>
          <w:rtl/>
          <w:lang w:bidi="ar-SA"/>
        </w:rPr>
      </w:pPr>
      <w:hyperlink r:id="rId7" w:history="1">
        <w:r w:rsidRPr="00594D4E">
          <w:rPr>
            <w:rStyle w:val="Hyperlink"/>
            <w:rtl/>
            <w:lang w:bidi="ar-SA"/>
          </w:rPr>
          <w:t>سفر نحميا</w:t>
        </w:r>
      </w:hyperlink>
    </w:p>
    <w:p w14:paraId="3CA04CAC" w14:textId="38031E77" w:rsidR="00594D4E" w:rsidRDefault="00594D4E" w:rsidP="00594D4E">
      <w:pPr>
        <w:bidi w:val="0"/>
        <w:rPr>
          <w:lang w:bidi="ar-SA"/>
        </w:rPr>
      </w:pPr>
      <w:r w:rsidRPr="00594D4E">
        <w:rPr>
          <w:lang w:bidi="ar-SA"/>
        </w:rPr>
        <w:t>Edward Dennett</w:t>
      </w:r>
    </w:p>
    <w:p w14:paraId="5AE741AB" w14:textId="6B9ABF15" w:rsidR="00594D4E" w:rsidRDefault="00F92095">
      <w:pPr>
        <w:rPr>
          <w:rtl/>
          <w:lang w:bidi="ar-SA"/>
        </w:rPr>
      </w:pPr>
      <w:r>
        <w:rPr>
          <w:rFonts w:hint="cs"/>
          <w:rtl/>
          <w:lang w:bidi="ar-SA"/>
        </w:rPr>
        <w:t>الإصحاح 1</w:t>
      </w:r>
    </w:p>
    <w:p w14:paraId="0CE6A05C" w14:textId="76643A88" w:rsidR="00F92095" w:rsidRDefault="00F92095">
      <w:pPr>
        <w:rPr>
          <w:rtl/>
          <w:lang w:bidi="ar-SA"/>
        </w:rPr>
      </w:pPr>
      <w:r>
        <w:rPr>
          <w:rFonts w:hint="cs"/>
          <w:rtl/>
          <w:lang w:bidi="ar-SA"/>
        </w:rPr>
        <w:t>يبدأ الإصحاح بخبر قصير عن الظروف التي استخدمها الله لمسّ قلب نحميا من خلال حالة الشعب. الله هو الذي أثّر بهذه المِحَن داخل النفس في محضره، التي تنتهي بحسب ترتيب الله وقصده في إرساله إلى أورشليم. أولاً يذكر نحميا تاريخ ميعاد الحدث ومكانه ويكتب:</w:t>
      </w:r>
    </w:p>
    <w:p w14:paraId="25338DBA" w14:textId="76EC2C83" w:rsidR="00F92095" w:rsidRDefault="00F92095">
      <w:pPr>
        <w:rPr>
          <w:rtl/>
          <w:lang w:bidi="ar-SA"/>
        </w:rPr>
      </w:pPr>
      <w:r>
        <w:rPr>
          <w:rFonts w:hint="cs"/>
          <w:rtl/>
          <w:lang w:bidi="ar-SA"/>
        </w:rPr>
        <w:t>"</w:t>
      </w:r>
      <w:r w:rsidRPr="00F92095">
        <w:rPr>
          <w:rFonts w:ascii="Tahoma" w:hAnsi="Tahoma" w:cs="Tahoma" w:hint="cs"/>
          <w:rtl/>
          <w:lang w:bidi="ar-SA"/>
        </w:rPr>
        <w:t>﻿</w:t>
      </w:r>
      <w:r w:rsidRPr="00F92095">
        <w:rPr>
          <w:rFonts w:hint="cs"/>
          <w:rtl/>
          <w:lang w:bidi="ar-SA"/>
        </w:rPr>
        <w:t>كَلاَمُ</w:t>
      </w:r>
      <w:r>
        <w:rPr>
          <w:rFonts w:hint="cs"/>
          <w:rtl/>
          <w:lang w:bidi="ar-SA"/>
        </w:rPr>
        <w:t xml:space="preserve"> (سرد، قصة)</w:t>
      </w:r>
      <w:r w:rsidRPr="00F92095">
        <w:rPr>
          <w:rtl/>
          <w:lang w:bidi="ar-SA"/>
        </w:rPr>
        <w:t xml:space="preserve"> </w:t>
      </w:r>
      <w:r w:rsidRPr="00F92095">
        <w:rPr>
          <w:rFonts w:hint="cs"/>
          <w:rtl/>
          <w:lang w:bidi="ar-SA"/>
        </w:rPr>
        <w:t>نَحَمْيَا</w:t>
      </w:r>
      <w:r w:rsidRPr="00F92095">
        <w:rPr>
          <w:rtl/>
          <w:lang w:bidi="ar-SA"/>
        </w:rPr>
        <w:t xml:space="preserve"> </w:t>
      </w:r>
      <w:r w:rsidRPr="00F92095">
        <w:rPr>
          <w:rFonts w:hint="cs"/>
          <w:rtl/>
          <w:lang w:bidi="ar-SA"/>
        </w:rPr>
        <w:t>بْنِ</w:t>
      </w:r>
      <w:r w:rsidRPr="00F92095">
        <w:rPr>
          <w:rtl/>
          <w:lang w:bidi="ar-SA"/>
        </w:rPr>
        <w:t xml:space="preserve"> </w:t>
      </w:r>
      <w:r w:rsidRPr="00F92095">
        <w:rPr>
          <w:rFonts w:hint="cs"/>
          <w:rtl/>
          <w:lang w:bidi="ar-SA"/>
        </w:rPr>
        <w:t>حَكَلْيَا</w:t>
      </w:r>
      <w:r w:rsidRPr="00F92095">
        <w:rPr>
          <w:rtl/>
          <w:lang w:bidi="ar-SA"/>
        </w:rPr>
        <w:t xml:space="preserve">: </w:t>
      </w:r>
      <w:r w:rsidRPr="00F92095">
        <w:rPr>
          <w:rFonts w:hint="cs"/>
          <w:rtl/>
          <w:lang w:bidi="ar-SA"/>
        </w:rPr>
        <w:t>حَدَثَ</w:t>
      </w:r>
      <w:r w:rsidRPr="00F92095">
        <w:rPr>
          <w:rtl/>
          <w:lang w:bidi="ar-SA"/>
        </w:rPr>
        <w:t xml:space="preserve"> </w:t>
      </w:r>
      <w:r w:rsidRPr="00F92095">
        <w:rPr>
          <w:rFonts w:hint="cs"/>
          <w:rtl/>
          <w:lang w:bidi="ar-SA"/>
        </w:rPr>
        <w:t>فِي</w:t>
      </w:r>
      <w:r w:rsidRPr="00F92095">
        <w:rPr>
          <w:rtl/>
          <w:lang w:bidi="ar-SA"/>
        </w:rPr>
        <w:t xml:space="preserve"> </w:t>
      </w:r>
      <w:r w:rsidRPr="00F92095">
        <w:rPr>
          <w:rFonts w:hint="cs"/>
          <w:rtl/>
          <w:lang w:bidi="ar-SA"/>
        </w:rPr>
        <w:t>شَهْرِ</w:t>
      </w:r>
      <w:r w:rsidRPr="00F92095">
        <w:rPr>
          <w:rtl/>
          <w:lang w:bidi="ar-SA"/>
        </w:rPr>
        <w:t xml:space="preserve"> </w:t>
      </w:r>
      <w:r w:rsidRPr="00F92095">
        <w:rPr>
          <w:rFonts w:hint="cs"/>
          <w:rtl/>
          <w:lang w:bidi="ar-SA"/>
        </w:rPr>
        <w:t>كَسْلُو</w:t>
      </w:r>
      <w:r w:rsidRPr="00F92095">
        <w:rPr>
          <w:rtl/>
          <w:lang w:bidi="ar-SA"/>
        </w:rPr>
        <w:t xml:space="preserve"> </w:t>
      </w:r>
      <w:r w:rsidRPr="00F92095">
        <w:rPr>
          <w:rFonts w:hint="cs"/>
          <w:rtl/>
          <w:lang w:bidi="ar-SA"/>
        </w:rPr>
        <w:t>فِي</w:t>
      </w:r>
      <w:r w:rsidRPr="00F92095">
        <w:rPr>
          <w:rtl/>
          <w:lang w:bidi="ar-SA"/>
        </w:rPr>
        <w:t xml:space="preserve"> </w:t>
      </w:r>
      <w:r w:rsidRPr="00F92095">
        <w:rPr>
          <w:rFonts w:hint="cs"/>
          <w:rtl/>
          <w:lang w:bidi="ar-SA"/>
        </w:rPr>
        <w:t>السَّنَةِ</w:t>
      </w:r>
      <w:r w:rsidRPr="00F92095">
        <w:rPr>
          <w:rtl/>
          <w:lang w:bidi="ar-SA"/>
        </w:rPr>
        <w:t xml:space="preserve"> </w:t>
      </w:r>
      <w:r w:rsidRPr="00F92095">
        <w:rPr>
          <w:rFonts w:hint="cs"/>
          <w:rtl/>
          <w:lang w:bidi="ar-SA"/>
        </w:rPr>
        <w:t>الْعِشْرِينَ،</w:t>
      </w:r>
      <w:r w:rsidRPr="00F92095">
        <w:rPr>
          <w:rtl/>
          <w:lang w:bidi="ar-SA"/>
        </w:rPr>
        <w:t xml:space="preserve"> </w:t>
      </w:r>
      <w:r w:rsidRPr="00F92095">
        <w:rPr>
          <w:rFonts w:hint="cs"/>
          <w:rtl/>
          <w:lang w:bidi="ar-SA"/>
        </w:rPr>
        <w:t>بَيْنَمَا</w:t>
      </w:r>
      <w:r w:rsidRPr="00F92095">
        <w:rPr>
          <w:rtl/>
          <w:lang w:bidi="ar-SA"/>
        </w:rPr>
        <w:t xml:space="preserve"> </w:t>
      </w:r>
      <w:r w:rsidRPr="00F92095">
        <w:rPr>
          <w:rFonts w:hint="cs"/>
          <w:rtl/>
          <w:lang w:bidi="ar-SA"/>
        </w:rPr>
        <w:t>كُنْتُ</w:t>
      </w:r>
      <w:r w:rsidRPr="00F92095">
        <w:rPr>
          <w:rtl/>
          <w:lang w:bidi="ar-SA"/>
        </w:rPr>
        <w:t xml:space="preserve"> </w:t>
      </w:r>
      <w:r w:rsidRPr="00F92095">
        <w:rPr>
          <w:rFonts w:hint="cs"/>
          <w:rtl/>
          <w:lang w:bidi="ar-SA"/>
        </w:rPr>
        <w:t>فِي</w:t>
      </w:r>
      <w:r w:rsidRPr="00F92095">
        <w:rPr>
          <w:rtl/>
          <w:lang w:bidi="ar-SA"/>
        </w:rPr>
        <w:t xml:space="preserve"> </w:t>
      </w:r>
      <w:r w:rsidRPr="00F92095">
        <w:rPr>
          <w:rFonts w:hint="cs"/>
          <w:rtl/>
          <w:lang w:bidi="ar-SA"/>
        </w:rPr>
        <w:t>شُوشَنَ</w:t>
      </w:r>
      <w:r w:rsidRPr="00F92095">
        <w:rPr>
          <w:rtl/>
          <w:lang w:bidi="ar-SA"/>
        </w:rPr>
        <w:t xml:space="preserve"> </w:t>
      </w:r>
      <w:r w:rsidRPr="00F92095">
        <w:rPr>
          <w:rFonts w:hint="cs"/>
          <w:rtl/>
          <w:lang w:bidi="ar-SA"/>
        </w:rPr>
        <w:t>الْقَصْرِ،</w:t>
      </w:r>
      <w:r>
        <w:rPr>
          <w:rFonts w:hint="cs"/>
          <w:rtl/>
          <w:lang w:bidi="ar-SA"/>
        </w:rPr>
        <w:t>" (1: 1).</w:t>
      </w:r>
    </w:p>
    <w:p w14:paraId="5C43D899" w14:textId="2A990832" w:rsidR="00F92095" w:rsidRDefault="00F92095">
      <w:pPr>
        <w:rPr>
          <w:rtl/>
          <w:lang w:bidi="ar-SA"/>
        </w:rPr>
      </w:pPr>
      <w:r>
        <w:rPr>
          <w:rFonts w:hint="cs"/>
          <w:rtl/>
          <w:lang w:bidi="ar-SA"/>
        </w:rPr>
        <w:t xml:space="preserve">نحميا 2: 1 يرينا بأنه كان عام أرتحشستا العشرون، أي من بعد صعود عزرا إلى أورشليم بثلاث عشر سنة. فهذا كان قد صعد من بابل (عزرا 7)، غير أن نحميا كان موظفًا في بلاط الملك كخادم شخصي للملك </w:t>
      </w:r>
      <w:r>
        <w:rPr>
          <w:rtl/>
          <w:lang w:bidi="ar-SA"/>
        </w:rPr>
        <w:t>–</w:t>
      </w:r>
      <w:r>
        <w:rPr>
          <w:rFonts w:hint="cs"/>
          <w:rtl/>
          <w:lang w:bidi="ar-SA"/>
        </w:rPr>
        <w:t xml:space="preserve"> "</w:t>
      </w:r>
      <w:r w:rsidRPr="00F92095">
        <w:rPr>
          <w:rtl/>
          <w:lang w:bidi="ar-SA"/>
        </w:rPr>
        <w:t>سَاقِيًا لِلْمَلِكِ</w:t>
      </w:r>
      <w:r>
        <w:rPr>
          <w:rFonts w:hint="cs"/>
          <w:rtl/>
          <w:lang w:bidi="ar-SA"/>
        </w:rPr>
        <w:t xml:space="preserve">" </w:t>
      </w:r>
      <w:r>
        <w:rPr>
          <w:rtl/>
          <w:lang w:bidi="ar-SA"/>
        </w:rPr>
        <w:t>–</w:t>
      </w:r>
      <w:r>
        <w:rPr>
          <w:rFonts w:hint="cs"/>
          <w:rtl/>
          <w:lang w:bidi="ar-SA"/>
        </w:rPr>
        <w:t xml:space="preserve"> في شوشن.</w:t>
      </w:r>
      <w:r>
        <w:rPr>
          <w:rStyle w:val="FootnoteReference"/>
          <w:rtl/>
          <w:lang w:bidi="ar-SA"/>
        </w:rPr>
        <w:footnoteReference w:id="1"/>
      </w:r>
      <w:r>
        <w:rPr>
          <w:rFonts w:hint="cs"/>
          <w:rtl/>
          <w:lang w:bidi="ar-SA"/>
        </w:rPr>
        <w:t xml:space="preserve"> وبينما كان ملتزمًا بواجباته قال:</w:t>
      </w:r>
    </w:p>
    <w:p w14:paraId="58967A4E" w14:textId="69D1BD30" w:rsidR="00F92095" w:rsidRDefault="00F92095">
      <w:pPr>
        <w:rPr>
          <w:rtl/>
          <w:lang w:bidi="ar-SA"/>
        </w:rPr>
      </w:pPr>
      <w:r>
        <w:rPr>
          <w:rFonts w:hint="cs"/>
          <w:rtl/>
          <w:lang w:bidi="ar-SA"/>
        </w:rPr>
        <w:t>"</w:t>
      </w:r>
      <w:r w:rsidRPr="00F92095">
        <w:rPr>
          <w:rFonts w:ascii="Tahoma" w:hAnsi="Tahoma" w:cs="Tahoma" w:hint="cs"/>
          <w:rtl/>
          <w:lang w:bidi="ar-SA"/>
        </w:rPr>
        <w:t>﻿</w:t>
      </w:r>
      <w:r w:rsidRPr="00F92095">
        <w:rPr>
          <w:rFonts w:hint="cs"/>
          <w:rtl/>
          <w:lang w:bidi="ar-SA"/>
        </w:rPr>
        <w:t>أَنَّهُ</w:t>
      </w:r>
      <w:r w:rsidRPr="00F92095">
        <w:rPr>
          <w:rtl/>
          <w:lang w:bidi="ar-SA"/>
        </w:rPr>
        <w:t xml:space="preserve"> </w:t>
      </w:r>
      <w:r w:rsidRPr="00F92095">
        <w:rPr>
          <w:rFonts w:hint="cs"/>
          <w:rtl/>
          <w:lang w:bidi="ar-SA"/>
        </w:rPr>
        <w:t>جَاءَ</w:t>
      </w:r>
      <w:r w:rsidRPr="00F92095">
        <w:rPr>
          <w:rtl/>
          <w:lang w:bidi="ar-SA"/>
        </w:rPr>
        <w:t xml:space="preserve"> </w:t>
      </w:r>
      <w:r w:rsidRPr="00F92095">
        <w:rPr>
          <w:rFonts w:hint="cs"/>
          <w:rtl/>
          <w:lang w:bidi="ar-SA"/>
        </w:rPr>
        <w:t>حَنَانِي،</w:t>
      </w:r>
      <w:r w:rsidRPr="00F92095">
        <w:rPr>
          <w:rtl/>
          <w:lang w:bidi="ar-SA"/>
        </w:rPr>
        <w:t xml:space="preserve"> </w:t>
      </w:r>
      <w:r w:rsidRPr="00F92095">
        <w:rPr>
          <w:rFonts w:hint="cs"/>
          <w:rtl/>
          <w:lang w:bidi="ar-SA"/>
        </w:rPr>
        <w:t>وَاحِدٌ</w:t>
      </w:r>
      <w:r w:rsidRPr="00F92095">
        <w:rPr>
          <w:rtl/>
          <w:lang w:bidi="ar-SA"/>
        </w:rPr>
        <w:t xml:space="preserve"> </w:t>
      </w:r>
      <w:r w:rsidRPr="00F92095">
        <w:rPr>
          <w:rFonts w:hint="cs"/>
          <w:rtl/>
          <w:lang w:bidi="ar-SA"/>
        </w:rPr>
        <w:t>مِنْ</w:t>
      </w:r>
      <w:r w:rsidRPr="00F92095">
        <w:rPr>
          <w:rtl/>
          <w:lang w:bidi="ar-SA"/>
        </w:rPr>
        <w:t xml:space="preserve"> </w:t>
      </w:r>
      <w:r w:rsidRPr="00F92095">
        <w:rPr>
          <w:rFonts w:hint="cs"/>
          <w:rtl/>
          <w:lang w:bidi="ar-SA"/>
        </w:rPr>
        <w:t>إِخْوَتِي،</w:t>
      </w:r>
      <w:r w:rsidRPr="00F92095">
        <w:rPr>
          <w:rtl/>
          <w:lang w:bidi="ar-SA"/>
        </w:rPr>
        <w:t xml:space="preserve"> </w:t>
      </w:r>
      <w:r w:rsidRPr="00F92095">
        <w:rPr>
          <w:rFonts w:hint="cs"/>
          <w:rtl/>
          <w:lang w:bidi="ar-SA"/>
        </w:rPr>
        <w:t>هُوَ</w:t>
      </w:r>
      <w:r w:rsidRPr="00F92095">
        <w:rPr>
          <w:rtl/>
          <w:lang w:bidi="ar-SA"/>
        </w:rPr>
        <w:t xml:space="preserve"> </w:t>
      </w:r>
      <w:r w:rsidRPr="00F92095">
        <w:rPr>
          <w:rFonts w:hint="cs"/>
          <w:rtl/>
          <w:lang w:bidi="ar-SA"/>
        </w:rPr>
        <w:t>وَرِجَالٌ</w:t>
      </w:r>
      <w:r w:rsidRPr="00F92095">
        <w:rPr>
          <w:rtl/>
          <w:lang w:bidi="ar-SA"/>
        </w:rPr>
        <w:t xml:space="preserve"> </w:t>
      </w:r>
      <w:r w:rsidRPr="00F92095">
        <w:rPr>
          <w:rFonts w:hint="cs"/>
          <w:rtl/>
          <w:lang w:bidi="ar-SA"/>
        </w:rPr>
        <w:t>مِنْ</w:t>
      </w:r>
      <w:r w:rsidRPr="00F92095">
        <w:rPr>
          <w:rtl/>
          <w:lang w:bidi="ar-SA"/>
        </w:rPr>
        <w:t xml:space="preserve"> </w:t>
      </w:r>
      <w:r w:rsidRPr="00F92095">
        <w:rPr>
          <w:rFonts w:hint="cs"/>
          <w:rtl/>
          <w:lang w:bidi="ar-SA"/>
        </w:rPr>
        <w:t>يَهُوذَا،</w:t>
      </w:r>
      <w:r w:rsidRPr="00F92095">
        <w:rPr>
          <w:rtl/>
          <w:lang w:bidi="ar-SA"/>
        </w:rPr>
        <w:t xml:space="preserve"> </w:t>
      </w:r>
      <w:r w:rsidRPr="00F92095">
        <w:rPr>
          <w:rFonts w:hint="cs"/>
          <w:rtl/>
          <w:lang w:bidi="ar-SA"/>
        </w:rPr>
        <w:t>فَسَأَلْتُهُمْ</w:t>
      </w:r>
      <w:r w:rsidRPr="00F92095">
        <w:rPr>
          <w:rtl/>
          <w:lang w:bidi="ar-SA"/>
        </w:rPr>
        <w:t xml:space="preserve"> </w:t>
      </w:r>
      <w:r w:rsidRPr="00F92095">
        <w:rPr>
          <w:rFonts w:hint="cs"/>
          <w:rtl/>
          <w:lang w:bidi="ar-SA"/>
        </w:rPr>
        <w:t>عَنِ</w:t>
      </w:r>
      <w:r w:rsidRPr="00F92095">
        <w:rPr>
          <w:rtl/>
          <w:lang w:bidi="ar-SA"/>
        </w:rPr>
        <w:t xml:space="preserve"> </w:t>
      </w:r>
      <w:r w:rsidRPr="00F92095">
        <w:rPr>
          <w:rFonts w:hint="cs"/>
          <w:rtl/>
          <w:lang w:bidi="ar-SA"/>
        </w:rPr>
        <w:t>الْيَهُودِ</w:t>
      </w:r>
      <w:r w:rsidRPr="00F92095">
        <w:rPr>
          <w:rtl/>
          <w:lang w:bidi="ar-SA"/>
        </w:rPr>
        <w:t xml:space="preserve"> </w:t>
      </w:r>
      <w:r w:rsidRPr="00F92095">
        <w:rPr>
          <w:rFonts w:hint="cs"/>
          <w:rtl/>
          <w:lang w:bidi="ar-SA"/>
        </w:rPr>
        <w:t>الَّذِينَ</w:t>
      </w:r>
      <w:r w:rsidRPr="00F92095">
        <w:rPr>
          <w:rtl/>
          <w:lang w:bidi="ar-SA"/>
        </w:rPr>
        <w:t xml:space="preserve"> </w:t>
      </w:r>
      <w:r w:rsidRPr="00F92095">
        <w:rPr>
          <w:rFonts w:hint="cs"/>
          <w:rtl/>
          <w:lang w:bidi="ar-SA"/>
        </w:rPr>
        <w:t>نَجَوْا،</w:t>
      </w:r>
      <w:r w:rsidRPr="00F92095">
        <w:rPr>
          <w:rtl/>
          <w:lang w:bidi="ar-SA"/>
        </w:rPr>
        <w:t xml:space="preserve"> </w:t>
      </w:r>
      <w:r w:rsidRPr="00F92095">
        <w:rPr>
          <w:rFonts w:hint="cs"/>
          <w:rtl/>
          <w:lang w:bidi="ar-SA"/>
        </w:rPr>
        <w:t>الَّذِينَ</w:t>
      </w:r>
      <w:r w:rsidRPr="00F92095">
        <w:rPr>
          <w:rtl/>
          <w:lang w:bidi="ar-SA"/>
        </w:rPr>
        <w:t xml:space="preserve"> </w:t>
      </w:r>
      <w:r w:rsidRPr="00F92095">
        <w:rPr>
          <w:rFonts w:hint="cs"/>
          <w:rtl/>
          <w:lang w:bidi="ar-SA"/>
        </w:rPr>
        <w:t>بَقُوا</w:t>
      </w:r>
      <w:r w:rsidRPr="00F92095">
        <w:rPr>
          <w:rtl/>
          <w:lang w:bidi="ar-SA"/>
        </w:rPr>
        <w:t xml:space="preserve"> </w:t>
      </w:r>
      <w:r w:rsidRPr="00F92095">
        <w:rPr>
          <w:rFonts w:hint="cs"/>
          <w:rtl/>
          <w:lang w:bidi="ar-SA"/>
        </w:rPr>
        <w:t>مِنَ</w:t>
      </w:r>
      <w:r w:rsidRPr="00F92095">
        <w:rPr>
          <w:rtl/>
          <w:lang w:bidi="ar-SA"/>
        </w:rPr>
        <w:t xml:space="preserve"> </w:t>
      </w:r>
      <w:r w:rsidRPr="00F92095">
        <w:rPr>
          <w:rFonts w:hint="cs"/>
          <w:rtl/>
          <w:lang w:bidi="ar-SA"/>
        </w:rPr>
        <w:t>السَّبْيِ،</w:t>
      </w:r>
      <w:r w:rsidRPr="00F92095">
        <w:rPr>
          <w:rtl/>
          <w:lang w:bidi="ar-SA"/>
        </w:rPr>
        <w:t xml:space="preserve"> </w:t>
      </w:r>
      <w:r w:rsidRPr="00F92095">
        <w:rPr>
          <w:rFonts w:hint="cs"/>
          <w:rtl/>
          <w:lang w:bidi="ar-SA"/>
        </w:rPr>
        <w:t>وَعَنْ</w:t>
      </w:r>
      <w:r w:rsidRPr="00F92095">
        <w:rPr>
          <w:rtl/>
          <w:lang w:bidi="ar-SA"/>
        </w:rPr>
        <w:t xml:space="preserve"> </w:t>
      </w:r>
      <w:r w:rsidRPr="00F92095">
        <w:rPr>
          <w:rFonts w:hint="cs"/>
          <w:rtl/>
          <w:lang w:bidi="ar-SA"/>
        </w:rPr>
        <w:t>أُورُشَلِيمَ</w:t>
      </w:r>
      <w:r w:rsidRPr="00F92095">
        <w:rPr>
          <w:rtl/>
          <w:lang w:bidi="ar-SA"/>
        </w:rPr>
        <w:t>.</w:t>
      </w:r>
      <w:r w:rsidR="002367F3">
        <w:rPr>
          <w:rFonts w:hint="cs"/>
          <w:rtl/>
          <w:lang w:bidi="ar-SA"/>
        </w:rPr>
        <w:t>" (1: 2).</w:t>
      </w:r>
    </w:p>
    <w:p w14:paraId="5EDB5B12" w14:textId="66350BE2" w:rsidR="002367F3" w:rsidRDefault="002367F3">
      <w:pPr>
        <w:rPr>
          <w:rFonts w:hint="cs"/>
          <w:lang w:bidi="ar-SA"/>
        </w:rPr>
      </w:pPr>
      <w:r>
        <w:rPr>
          <w:rFonts w:hint="cs"/>
          <w:rtl/>
          <w:lang w:bidi="ar-SA"/>
        </w:rPr>
        <w:t xml:space="preserve">فنحميا بنفسه عاش في السبي. ولكن على الرغم من أنه كان من نسل مسبي، إلا أنه وجد نعمة في عيني الملك ومنصبًا رفيعًا مربحًا. وفي مثل هذه الظروف قد ينسى البعض أرض آبائهم. أما نحميا فلم يكن كذلك! لأننا كما نلاحظ من </w:t>
      </w:r>
      <w:r w:rsidR="007928D7">
        <w:rPr>
          <w:rFonts w:hint="cs"/>
          <w:rtl/>
          <w:lang w:bidi="ar-SA"/>
        </w:rPr>
        <w:t>ال</w:t>
      </w:r>
      <w:r>
        <w:rPr>
          <w:rFonts w:hint="cs"/>
          <w:rtl/>
          <w:lang w:bidi="ar-SA"/>
        </w:rPr>
        <w:t>حقيقة</w:t>
      </w:r>
      <w:r w:rsidR="007928D7" w:rsidRPr="007928D7">
        <w:rPr>
          <w:rtl/>
        </w:rPr>
        <w:t xml:space="preserve"> </w:t>
      </w:r>
      <w:r w:rsidR="007928D7" w:rsidRPr="007928D7">
        <w:rPr>
          <w:rtl/>
          <w:lang w:bidi="ar-SA"/>
        </w:rPr>
        <w:t>المذكورة هنا</w:t>
      </w:r>
      <w:r w:rsidR="007928D7">
        <w:rPr>
          <w:rFonts w:hint="cs"/>
          <w:rtl/>
          <w:lang w:bidi="ar-SA"/>
        </w:rPr>
        <w:t xml:space="preserve"> عن</w:t>
      </w:r>
      <w:r>
        <w:rPr>
          <w:rFonts w:hint="cs"/>
          <w:rtl/>
          <w:lang w:bidi="ar-SA"/>
        </w:rPr>
        <w:t xml:space="preserve"> زيارة أخيه حناني وبعض الرجال من يهوذا ،من الواضح أنه كان معروفًا كشخص لم يكُف عن التفكير بصهيون. ومن طريقة سؤاله يمكننا أن نلاحظ بأن قلبه حوى كل إنسان في </w:t>
      </w:r>
      <w:hyperlink r:id="rId8" w:anchor=":~:text=Er%20erkundigt%20sich%20%E2%80%9Enach%20den%20Juden%2C%20den%20Entronnenen%2C%20die%20noch%20von%20der%20Gefangenschaft" w:history="1">
        <w:r w:rsidRPr="00107B7A">
          <w:rPr>
            <w:rStyle w:val="Hyperlink"/>
            <w:rFonts w:hint="cs"/>
            <w:rtl/>
            <w:lang w:bidi="ar-SA"/>
          </w:rPr>
          <w:t>الشعب</w:t>
        </w:r>
      </w:hyperlink>
      <w:r>
        <w:rPr>
          <w:rFonts w:hint="cs"/>
          <w:rtl/>
          <w:lang w:bidi="ar-SA"/>
        </w:rPr>
        <w:t xml:space="preserve">. </w:t>
      </w:r>
    </w:p>
    <w:sectPr w:rsidR="002367F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F36E6" w14:textId="77777777" w:rsidR="0012387B" w:rsidRDefault="0012387B" w:rsidP="00F92095">
      <w:pPr>
        <w:spacing w:after="0" w:line="240" w:lineRule="auto"/>
      </w:pPr>
      <w:r>
        <w:separator/>
      </w:r>
    </w:p>
  </w:endnote>
  <w:endnote w:type="continuationSeparator" w:id="0">
    <w:p w14:paraId="256C0DC6" w14:textId="77777777" w:rsidR="0012387B" w:rsidRDefault="0012387B" w:rsidP="00F92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EDB01" w14:textId="77777777" w:rsidR="0012387B" w:rsidRDefault="0012387B" w:rsidP="00F92095">
      <w:pPr>
        <w:spacing w:after="0" w:line="240" w:lineRule="auto"/>
      </w:pPr>
      <w:r>
        <w:separator/>
      </w:r>
    </w:p>
  </w:footnote>
  <w:footnote w:type="continuationSeparator" w:id="0">
    <w:p w14:paraId="667B6D40" w14:textId="77777777" w:rsidR="0012387B" w:rsidRDefault="0012387B" w:rsidP="00F92095">
      <w:pPr>
        <w:spacing w:after="0" w:line="240" w:lineRule="auto"/>
      </w:pPr>
      <w:r>
        <w:continuationSeparator/>
      </w:r>
    </w:p>
  </w:footnote>
  <w:footnote w:id="1">
    <w:p w14:paraId="75467FD0" w14:textId="6A13629B" w:rsidR="00F92095" w:rsidRDefault="00F92095">
      <w:pPr>
        <w:pStyle w:val="FootnoteText"/>
        <w:rPr>
          <w:rFonts w:hint="cs"/>
          <w:lang w:bidi="ar-SA"/>
        </w:rPr>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4E"/>
    <w:rsid w:val="00107B7A"/>
    <w:rsid w:val="0012387B"/>
    <w:rsid w:val="00166066"/>
    <w:rsid w:val="002367F3"/>
    <w:rsid w:val="00594D4E"/>
    <w:rsid w:val="005E7AE7"/>
    <w:rsid w:val="00625121"/>
    <w:rsid w:val="00762970"/>
    <w:rsid w:val="007928D7"/>
    <w:rsid w:val="007E1946"/>
    <w:rsid w:val="008E0EC1"/>
    <w:rsid w:val="00AF6FE2"/>
    <w:rsid w:val="00B41D4E"/>
    <w:rsid w:val="00D33A1B"/>
    <w:rsid w:val="00EC5C84"/>
    <w:rsid w:val="00F9209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A4F6D"/>
  <w15:chartTrackingRefBased/>
  <w15:docId w15:val="{0F8FED55-2BCF-4BDE-9F86-E515C59BA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B41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1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1D4E"/>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B41D4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41D4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1D4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D4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D4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D4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B41D4E"/>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B41D4E"/>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B41D4E"/>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B41D4E"/>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B41D4E"/>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B41D4E"/>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B41D4E"/>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B41D4E"/>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B41D4E"/>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B41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D4E"/>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B41D4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41D4E"/>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B41D4E"/>
    <w:pPr>
      <w:spacing w:before="160"/>
      <w:jc w:val="center"/>
    </w:pPr>
    <w:rPr>
      <w:i/>
      <w:iCs/>
      <w:color w:val="404040" w:themeColor="text1" w:themeTint="BF"/>
    </w:rPr>
  </w:style>
  <w:style w:type="character" w:customStyle="1" w:styleId="QuoteChar">
    <w:name w:val="Quote Char"/>
    <w:basedOn w:val="DefaultParagraphFont"/>
    <w:link w:val="Quote"/>
    <w:uiPriority w:val="29"/>
    <w:rsid w:val="00B41D4E"/>
    <w:rPr>
      <w:i/>
      <w:iCs/>
      <w:noProof/>
      <w:color w:val="404040" w:themeColor="text1" w:themeTint="BF"/>
      <w:lang w:bidi="ar-EG"/>
    </w:rPr>
  </w:style>
  <w:style w:type="paragraph" w:styleId="ListParagraph">
    <w:name w:val="List Paragraph"/>
    <w:basedOn w:val="Normal"/>
    <w:uiPriority w:val="34"/>
    <w:qFormat/>
    <w:rsid w:val="00B41D4E"/>
    <w:pPr>
      <w:ind w:left="720"/>
      <w:contextualSpacing/>
    </w:pPr>
  </w:style>
  <w:style w:type="character" w:styleId="IntenseEmphasis">
    <w:name w:val="Intense Emphasis"/>
    <w:basedOn w:val="DefaultParagraphFont"/>
    <w:uiPriority w:val="21"/>
    <w:qFormat/>
    <w:rsid w:val="00B41D4E"/>
    <w:rPr>
      <w:i/>
      <w:iCs/>
      <w:color w:val="2F5496" w:themeColor="accent1" w:themeShade="BF"/>
    </w:rPr>
  </w:style>
  <w:style w:type="paragraph" w:styleId="IntenseQuote">
    <w:name w:val="Intense Quote"/>
    <w:basedOn w:val="Normal"/>
    <w:next w:val="Normal"/>
    <w:link w:val="IntenseQuoteChar"/>
    <w:uiPriority w:val="30"/>
    <w:qFormat/>
    <w:rsid w:val="00B41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D4E"/>
    <w:rPr>
      <w:i/>
      <w:iCs/>
      <w:noProof/>
      <w:color w:val="2F5496" w:themeColor="accent1" w:themeShade="BF"/>
      <w:lang w:bidi="ar-EG"/>
    </w:rPr>
  </w:style>
  <w:style w:type="character" w:styleId="IntenseReference">
    <w:name w:val="Intense Reference"/>
    <w:basedOn w:val="DefaultParagraphFont"/>
    <w:uiPriority w:val="32"/>
    <w:qFormat/>
    <w:rsid w:val="00B41D4E"/>
    <w:rPr>
      <w:b/>
      <w:bCs/>
      <w:smallCaps/>
      <w:color w:val="2F5496" w:themeColor="accent1" w:themeShade="BF"/>
      <w:spacing w:val="5"/>
    </w:rPr>
  </w:style>
  <w:style w:type="character" w:styleId="Hyperlink">
    <w:name w:val="Hyperlink"/>
    <w:basedOn w:val="DefaultParagraphFont"/>
    <w:uiPriority w:val="99"/>
    <w:unhideWhenUsed/>
    <w:rsid w:val="00594D4E"/>
    <w:rPr>
      <w:color w:val="0563C1" w:themeColor="hyperlink"/>
      <w:u w:val="single"/>
    </w:rPr>
  </w:style>
  <w:style w:type="character" w:styleId="UnresolvedMention">
    <w:name w:val="Unresolved Mention"/>
    <w:basedOn w:val="DefaultParagraphFont"/>
    <w:uiPriority w:val="99"/>
    <w:semiHidden/>
    <w:unhideWhenUsed/>
    <w:rsid w:val="00594D4E"/>
    <w:rPr>
      <w:color w:val="605E5C"/>
      <w:shd w:val="clear" w:color="auto" w:fill="E1DFDD"/>
    </w:rPr>
  </w:style>
  <w:style w:type="paragraph" w:styleId="FootnoteText">
    <w:name w:val="footnote text"/>
    <w:basedOn w:val="Normal"/>
    <w:link w:val="FootnoteTextChar"/>
    <w:uiPriority w:val="99"/>
    <w:semiHidden/>
    <w:unhideWhenUsed/>
    <w:rsid w:val="00F9209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2095"/>
    <w:rPr>
      <w:noProof/>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954/nehemia/kapitel-1" TargetMode="External"/><Relationship Id="rId3" Type="http://schemas.openxmlformats.org/officeDocument/2006/relationships/settings" Target="settings.xml"/><Relationship Id="rId7" Type="http://schemas.openxmlformats.org/officeDocument/2006/relationships/hyperlink" Target="https://www.bibelkommentare.de/kommentare/k-5954/nehemia/kapitel-1"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39F3C-D7EA-4FAD-BF91-C65AC7559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Pages>
  <Words>233</Words>
  <Characters>1333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5</cp:revision>
  <dcterms:created xsi:type="dcterms:W3CDTF">2026-01-13T08:27:00Z</dcterms:created>
  <dcterms:modified xsi:type="dcterms:W3CDTF">2026-01-13T11:28:00Z</dcterms:modified>
</cp:coreProperties>
</file>