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86478E" w14:textId="4EB64063" w:rsidR="00614739" w:rsidRDefault="009869CA" w:rsidP="009869CA">
      <w:pPr>
        <w:bidi/>
        <w:jc w:val="both"/>
        <w:rPr>
          <w:rtl/>
          <w:lang w:bidi="ar-EG"/>
        </w:rPr>
      </w:pPr>
      <w:hyperlink r:id="rId8" w:history="1">
        <w:r w:rsidRPr="009869CA">
          <w:rPr>
            <w:rStyle w:val="Hyperlink"/>
            <w:rFonts w:hint="cs"/>
            <w:rtl/>
            <w:lang w:bidi="ar-EG"/>
          </w:rPr>
          <w:t>خطاب وموت الشهيد استيفانوس</w:t>
        </w:r>
      </w:hyperlink>
    </w:p>
    <w:p w14:paraId="0E0DF30E" w14:textId="14C5C407" w:rsidR="009869CA" w:rsidRDefault="009869CA" w:rsidP="009869CA">
      <w:pPr>
        <w:bidi/>
        <w:jc w:val="both"/>
        <w:rPr>
          <w:rtl/>
          <w:lang w:bidi="ar-EG"/>
        </w:rPr>
      </w:pPr>
      <w:r>
        <w:rPr>
          <w:rFonts w:hint="cs"/>
          <w:rtl/>
          <w:lang w:bidi="ar-EG"/>
        </w:rPr>
        <w:t>دراسة كتابية في أعمال الرسل 7</w:t>
      </w:r>
    </w:p>
    <w:p w14:paraId="01FE101F" w14:textId="253A8499" w:rsidR="009869CA" w:rsidRDefault="009869CA" w:rsidP="009869CA">
      <w:pPr>
        <w:bidi/>
        <w:jc w:val="both"/>
        <w:rPr>
          <w:rtl/>
          <w:lang w:bidi="ar-EG"/>
        </w:rPr>
      </w:pPr>
      <w:r w:rsidRPr="009869CA">
        <w:rPr>
          <w:lang w:bidi="ar-EG"/>
        </w:rPr>
        <w:t>Ernst-August Bremicker</w:t>
      </w:r>
    </w:p>
    <w:p w14:paraId="50FD9535" w14:textId="7C19BF50" w:rsidR="009869CA" w:rsidRDefault="009869CA" w:rsidP="009869CA">
      <w:pPr>
        <w:bidi/>
        <w:jc w:val="both"/>
        <w:rPr>
          <w:rtl/>
          <w:lang w:bidi="ar-EG"/>
        </w:rPr>
      </w:pPr>
      <w:r>
        <w:rPr>
          <w:rFonts w:hint="cs"/>
          <w:rtl/>
          <w:lang w:bidi="ar-EG"/>
        </w:rPr>
        <w:t>تمهيد</w:t>
      </w:r>
    </w:p>
    <w:p w14:paraId="02CD5EEC" w14:textId="38487391" w:rsidR="009869CA" w:rsidRDefault="009869CA" w:rsidP="009869CA">
      <w:pPr>
        <w:bidi/>
        <w:jc w:val="both"/>
        <w:rPr>
          <w:rtl/>
          <w:lang w:bidi="ar-EG"/>
        </w:rPr>
      </w:pPr>
      <w:r>
        <w:rPr>
          <w:rFonts w:hint="cs"/>
          <w:rtl/>
          <w:lang w:bidi="ar-EG"/>
        </w:rPr>
        <w:t>استيفانوس</w:t>
      </w:r>
    </w:p>
    <w:p w14:paraId="4E86415D" w14:textId="7FFB5C3B" w:rsidR="00FB60E7" w:rsidRDefault="00FB60E7" w:rsidP="00FB60E7">
      <w:pPr>
        <w:bidi/>
        <w:jc w:val="both"/>
        <w:rPr>
          <w:rtl/>
          <w:lang w:bidi="ar-EG"/>
        </w:rPr>
      </w:pPr>
      <w:r>
        <w:rPr>
          <w:rFonts w:hint="cs"/>
          <w:rtl/>
          <w:lang w:bidi="ar-EG"/>
        </w:rPr>
        <w:t>استيفانوس يُذكر اسمه ابتداء من أعمال الرسل 6. في العدد 5 يتم تقديمه كـ"</w:t>
      </w:r>
      <w:r w:rsidRPr="00FB60E7">
        <w:rPr>
          <w:rtl/>
          <w:lang w:bidi="ar-EG"/>
        </w:rPr>
        <w:t>رَجُلاً مَمْلُوًّا مِنَ الإِيمَانِ وَالرُّوحِ الْقُدُسِ</w:t>
      </w:r>
      <w:r>
        <w:rPr>
          <w:rFonts w:hint="cs"/>
          <w:rtl/>
          <w:lang w:bidi="ar-EG"/>
        </w:rPr>
        <w:t>" وفي العدد 8 كشخص "</w:t>
      </w:r>
      <w:r w:rsidRPr="00FB60E7">
        <w:rPr>
          <w:rtl/>
          <w:lang w:bidi="ar-EG"/>
        </w:rPr>
        <w:t>مَمْلُوًّا إِيمَانًا وَقُوَّةً، كَانَ يَصْنَعُ عَجَائِبَ وَآيَاتٍ عَظِيمَةً فِي الشَّعْبِ.</w:t>
      </w:r>
      <w:r>
        <w:rPr>
          <w:rFonts w:hint="cs"/>
          <w:rtl/>
          <w:lang w:bidi="ar-EG"/>
        </w:rPr>
        <w:t>". الروح القدس عمل بقوة من خلال هذا الرجل، وقد تبيّن هذا الأمر بما عمله. ولكن ليس هذا فقط. استيفانوس لم يصنع عجائب وآيات</w:t>
      </w:r>
      <w:r w:rsidR="00025385" w:rsidRPr="00025385">
        <w:rPr>
          <w:rFonts w:hint="cs"/>
          <w:rtl/>
          <w:lang w:bidi="ar-EG"/>
        </w:rPr>
        <w:t xml:space="preserve"> </w:t>
      </w:r>
      <w:r w:rsidR="00025385">
        <w:rPr>
          <w:rFonts w:hint="cs"/>
          <w:rtl/>
          <w:lang w:bidi="ar-EG"/>
        </w:rPr>
        <w:t>فقط</w:t>
      </w:r>
      <w:r>
        <w:rPr>
          <w:rFonts w:hint="cs"/>
          <w:rtl/>
          <w:lang w:bidi="ar-EG"/>
        </w:rPr>
        <w:t>، وإنما كان في الدرجة الأولى رجلاً فصيح الكلام يعرف العهد القديم. في العدد 9 قام "</w:t>
      </w:r>
      <w:r w:rsidRPr="00FB60E7">
        <w:rPr>
          <w:rtl/>
          <w:lang w:bidi="ar-EG"/>
        </w:rPr>
        <w:t>قَوْمٌ مِنَ الْمَجْمَعِ الَّذِي يُقَالُ لَهُ مَجْمَعُ اللِّيبَرْتِينِيِّينَ وَالْقَيْرَوَانِيِّينَ وَالإِسْكَنْدَرِيِّينَ، وَمِنَ الَّذِينَ مِنْ كِيلِيكِيَّا وَأَسِيَّا، يُحَاوِرُونَ اسْتِفَانُوسَ.</w:t>
      </w:r>
      <w:r>
        <w:rPr>
          <w:rFonts w:hint="cs"/>
          <w:rtl/>
          <w:lang w:bidi="ar-EG"/>
        </w:rPr>
        <w:t xml:space="preserve">" </w:t>
      </w:r>
      <w:r>
        <w:rPr>
          <w:rtl/>
          <w:lang w:bidi="ar-EG"/>
        </w:rPr>
        <w:t>–</w:t>
      </w:r>
      <w:r>
        <w:rPr>
          <w:rFonts w:hint="cs"/>
          <w:rtl/>
          <w:lang w:bidi="ar-EG"/>
        </w:rPr>
        <w:t xml:space="preserve"> ومن الواضح أنهم لم يستطيعوا النوال منه.</w:t>
      </w:r>
      <w:r>
        <w:rPr>
          <w:rStyle w:val="a6"/>
          <w:rtl/>
          <w:lang w:bidi="ar-EG"/>
        </w:rPr>
        <w:footnoteReference w:id="1"/>
      </w:r>
      <w:r>
        <w:rPr>
          <w:rFonts w:hint="cs"/>
          <w:rtl/>
          <w:lang w:bidi="ar-EG"/>
        </w:rPr>
        <w:t xml:space="preserve"> فلقد كان على أي حال رجلاً له مكانته.</w:t>
      </w:r>
    </w:p>
    <w:p w14:paraId="5C169FAC" w14:textId="59F0EBF3" w:rsidR="00FB60E7" w:rsidRDefault="00FB60E7" w:rsidP="00FB60E7">
      <w:pPr>
        <w:bidi/>
        <w:jc w:val="both"/>
        <w:rPr>
          <w:rtl/>
          <w:lang w:bidi="ar-EG"/>
        </w:rPr>
      </w:pPr>
      <w:r>
        <w:rPr>
          <w:rFonts w:hint="cs"/>
          <w:rtl/>
          <w:lang w:bidi="ar-EG"/>
        </w:rPr>
        <w:t>أعمال الرسل 7</w:t>
      </w:r>
    </w:p>
    <w:p w14:paraId="0A989EC6" w14:textId="6145C81C" w:rsidR="00FB60E7" w:rsidRDefault="00FB60E7" w:rsidP="00FB60E7">
      <w:pPr>
        <w:bidi/>
        <w:jc w:val="both"/>
        <w:rPr>
          <w:rtl/>
          <w:lang w:bidi="ar-EG"/>
        </w:rPr>
      </w:pPr>
      <w:r>
        <w:rPr>
          <w:rFonts w:hint="cs"/>
          <w:rtl/>
          <w:lang w:bidi="ar-EG"/>
        </w:rPr>
        <w:t>هذا الإصحاح ينقسم إلى قسمين بصورة واضحة:</w:t>
      </w:r>
    </w:p>
    <w:p w14:paraId="549C0B0D" w14:textId="6AEBD2FD" w:rsidR="00FB60E7" w:rsidRDefault="00FB60E7" w:rsidP="00FB60E7">
      <w:pPr>
        <w:bidi/>
        <w:jc w:val="both"/>
        <w:rPr>
          <w:rtl/>
          <w:lang w:bidi="ar-EG"/>
        </w:rPr>
      </w:pPr>
      <w:r>
        <w:rPr>
          <w:rFonts w:hint="cs"/>
          <w:rtl/>
          <w:lang w:bidi="ar-EG"/>
        </w:rPr>
        <w:t xml:space="preserve">* قسم 1 (الأعداد 2 </w:t>
      </w:r>
      <w:r>
        <w:rPr>
          <w:rtl/>
          <w:lang w:bidi="ar-EG"/>
        </w:rPr>
        <w:t>–</w:t>
      </w:r>
      <w:r>
        <w:rPr>
          <w:rFonts w:hint="cs"/>
          <w:rtl/>
          <w:lang w:bidi="ar-EG"/>
        </w:rPr>
        <w:t xml:space="preserve"> 53) يتناول رد استيفانوس المفصل على السؤال القصير الذي طرحه رئيس الكهنة في العدد 1.</w:t>
      </w:r>
    </w:p>
    <w:p w14:paraId="484D51F4" w14:textId="77777777" w:rsidR="00861D46" w:rsidRDefault="00FB60E7" w:rsidP="00861D46">
      <w:pPr>
        <w:bidi/>
        <w:jc w:val="both"/>
        <w:rPr>
          <w:rtl/>
          <w:lang w:bidi="ar-EG"/>
        </w:rPr>
        <w:sectPr w:rsidR="00861D46">
          <w:pgSz w:w="11906" w:h="16838"/>
          <w:pgMar w:top="1440" w:right="1440" w:bottom="1440" w:left="1440" w:header="708" w:footer="708" w:gutter="0"/>
          <w:cols w:space="708"/>
          <w:docGrid w:linePitch="360"/>
        </w:sectPr>
      </w:pPr>
      <w:r>
        <w:rPr>
          <w:rFonts w:hint="cs"/>
          <w:rtl/>
          <w:lang w:bidi="ar-EG"/>
        </w:rPr>
        <w:t xml:space="preserve">* القسم 2 (الأعداد 54 </w:t>
      </w:r>
      <w:r>
        <w:rPr>
          <w:rtl/>
          <w:lang w:bidi="ar-EG"/>
        </w:rPr>
        <w:t>–</w:t>
      </w:r>
      <w:r>
        <w:rPr>
          <w:rFonts w:hint="cs"/>
          <w:rtl/>
          <w:lang w:bidi="ar-EG"/>
        </w:rPr>
        <w:t xml:space="preserve"> 60) يُري رد فعل اليهود وموت استيفانوس العنيف.</w:t>
      </w:r>
    </w:p>
    <w:p w14:paraId="4D58ADF2" w14:textId="00C86A57" w:rsidR="009869CA" w:rsidRDefault="00770BDF" w:rsidP="00861D46">
      <w:pPr>
        <w:bidi/>
        <w:jc w:val="both"/>
        <w:rPr>
          <w:rtl/>
          <w:lang w:bidi="ar-EG"/>
        </w:rPr>
      </w:pPr>
      <w:hyperlink r:id="rId9" w:history="1">
        <w:r w:rsidR="00861D46" w:rsidRPr="00770BDF">
          <w:rPr>
            <w:rStyle w:val="Hyperlink"/>
            <w:rFonts w:hint="cs"/>
            <w:rtl/>
            <w:lang w:bidi="ar-EG"/>
          </w:rPr>
          <w:t>أ) خطاب استيفانوس</w:t>
        </w:r>
      </w:hyperlink>
    </w:p>
    <w:p w14:paraId="1F41EC95" w14:textId="79AF5B04" w:rsidR="00861D46" w:rsidRDefault="00861D46" w:rsidP="00861D46">
      <w:pPr>
        <w:bidi/>
        <w:jc w:val="both"/>
        <w:rPr>
          <w:rtl/>
          <w:lang w:bidi="ar-EG"/>
        </w:rPr>
      </w:pPr>
      <w:r>
        <w:rPr>
          <w:rFonts w:hint="cs"/>
          <w:rtl/>
          <w:lang w:bidi="ar-EG"/>
        </w:rPr>
        <w:t>الخلفية</w:t>
      </w:r>
    </w:p>
    <w:p w14:paraId="1747B3F0" w14:textId="12AA87DF" w:rsidR="00861D46" w:rsidRDefault="00861D46" w:rsidP="00167BC5">
      <w:pPr>
        <w:bidi/>
        <w:jc w:val="both"/>
        <w:rPr>
          <w:rtl/>
          <w:lang w:bidi="ar-EG"/>
        </w:rPr>
      </w:pPr>
      <w:r>
        <w:rPr>
          <w:rFonts w:hint="cs"/>
          <w:rtl/>
          <w:lang w:bidi="ar-EG"/>
        </w:rPr>
        <w:t>إن خلفية هذا الخطاب نجده في إصحاح 6. إننا أولاً نجد هناك استيفانوس في العدد 3 كشخص كانت له شهادة حسنة، مملوًا من الروح القدس والحكمة ولذا كان مؤهلاً لأن يهتم بالإعالة المالية الخاصة بالأرامل. في عدد 5 يُدعى استيفانوس رجلاً "مملوًا إيمانًا ومن الروح القدس". الروح القدس كان عاملاً فيه، والنتيجة كانت حياة حقيقية في الإيمان. في العدد 8 يُذكر، بأنه كان مملوًا بالنعمة والقوة</w:t>
      </w:r>
      <w:r w:rsidRPr="00861D46">
        <w:rPr>
          <w:rFonts w:hint="cs"/>
          <w:rtl/>
          <w:lang w:bidi="ar-EG"/>
        </w:rPr>
        <w:t xml:space="preserve"> </w:t>
      </w:r>
      <w:r>
        <w:rPr>
          <w:rFonts w:hint="cs"/>
          <w:rtl/>
          <w:lang w:bidi="ar-EG"/>
        </w:rPr>
        <w:t>أيضًا. م</w:t>
      </w:r>
      <w:r w:rsidR="0055119F">
        <w:rPr>
          <w:rFonts w:hint="cs"/>
          <w:rtl/>
          <w:lang w:bidi="ar-EG"/>
        </w:rPr>
        <w:t>ن</w:t>
      </w:r>
      <w:r>
        <w:rPr>
          <w:rFonts w:hint="cs"/>
          <w:rtl/>
          <w:lang w:bidi="ar-EG"/>
        </w:rPr>
        <w:t xml:space="preserve"> الواضح أن كلماته كانت مملحة بالنعمة (كولوسي 4: 6). ولكن ليس هذا فقط؛ فاستيفانوس صنع "</w:t>
      </w:r>
      <w:r w:rsidRPr="00861D46">
        <w:rPr>
          <w:rtl/>
          <w:lang w:bidi="ar-EG"/>
        </w:rPr>
        <w:t xml:space="preserve"> </w:t>
      </w:r>
      <w:r w:rsidRPr="00FB60E7">
        <w:rPr>
          <w:rtl/>
          <w:lang w:bidi="ar-EG"/>
        </w:rPr>
        <w:t>عَجَائِبَ وَآيَاتٍ عَظِيمَةً فِي الشَّعْبِ</w:t>
      </w:r>
      <w:r>
        <w:rPr>
          <w:rFonts w:hint="cs"/>
          <w:rtl/>
          <w:lang w:bidi="ar-EG"/>
        </w:rPr>
        <w:t>". لقد كانت علامات مبتدأ الوقت الذي صودق به على بشارة الإنجيل في ذلك الحين (عبرانيين 2: 4). لكن وبالدرجة الأولى كان استيفانوس رجلاً فصيحًا، لأننا نقرأ في عدد 9، بأنه قام "</w:t>
      </w:r>
      <w:r w:rsidRPr="00FB60E7">
        <w:rPr>
          <w:rtl/>
          <w:lang w:bidi="ar-EG"/>
        </w:rPr>
        <w:t>قَوْمٌ مِنَ الْمَجْمَعِ الَّذِي يُقَالُ لَهُ مَجْمَعُ اللِّيبَرْتِينِيِّينَ وَالْقَيْرَوَانِيِّينَ وَالإِسْكَنْدَرِيِّينَ، وَمِنَ الَّذِينَ مِنْ كِيلِيكِيَّا وَأَسِيَّا، يُحَاوِرُونَ اسْتِفَانُوسَ.</w:t>
      </w:r>
      <w:r>
        <w:rPr>
          <w:rFonts w:hint="cs"/>
          <w:rtl/>
          <w:lang w:bidi="ar-EG"/>
        </w:rPr>
        <w:t xml:space="preserve">"، إلا أنهم لم يقدروا أن يقاوموا الحكمة والروح اللذان تكلم بهما استيفانوس (عدد 10). </w:t>
      </w:r>
      <w:r w:rsidR="00167BC5">
        <w:rPr>
          <w:rFonts w:hint="cs"/>
          <w:rtl/>
          <w:lang w:bidi="ar-EG"/>
        </w:rPr>
        <w:t xml:space="preserve">وهؤلاء الرجال من الواضح أنهم كانوا من الهيلينيين، أي يهود يتكلمون اليونانية ترعرعوا خارج فلسطين. إنه من المحتمل جدًا </w:t>
      </w:r>
      <w:r w:rsidR="00167BC5">
        <w:rPr>
          <w:rtl/>
          <w:lang w:bidi="ar-EG"/>
        </w:rPr>
        <w:t>–</w:t>
      </w:r>
      <w:r w:rsidR="00167BC5">
        <w:rPr>
          <w:rFonts w:hint="cs"/>
          <w:rtl/>
          <w:lang w:bidi="ar-EG"/>
        </w:rPr>
        <w:t xml:space="preserve"> إن لم يكن بشكل مؤكد تمامًا </w:t>
      </w:r>
      <w:r w:rsidR="00167BC5">
        <w:rPr>
          <w:rtl/>
          <w:lang w:bidi="ar-EG"/>
        </w:rPr>
        <w:t>–</w:t>
      </w:r>
      <w:r w:rsidR="00167BC5">
        <w:rPr>
          <w:rFonts w:hint="cs"/>
          <w:rtl/>
          <w:lang w:bidi="ar-EG"/>
        </w:rPr>
        <w:t xml:space="preserve"> بأن استيفانوس أيضًا كان هيلينيًا. لأنهم لم يتوصلوا لأي شيء ضد استيفانوس تناولوا أسلوبًا محكمًا ليس نظيفًا. فقد دفعوا خفية برجال طعنوا استيفانوس بالتجديف (</w:t>
      </w:r>
      <w:r w:rsidR="0015469D">
        <w:rPr>
          <w:rFonts w:hint="cs"/>
          <w:rtl/>
          <w:lang w:bidi="ar-EG"/>
        </w:rPr>
        <w:t>عدد 11). كنتيجة لذلك أغاروا الشعب وشغلوا شهود زور ضد استيفانوس. على وجه التحديد بأنه تكلم ضد موسى والله (عدد 11) كما وضد المكان المقدس (الهيكل) وضد الناموس (عدد 13). هذه كانت الأربع اتهامات التي رُفعت ضده.</w:t>
      </w:r>
    </w:p>
    <w:p w14:paraId="332B2358" w14:textId="1599840E" w:rsidR="0015469D" w:rsidRDefault="0015469D" w:rsidP="0015469D">
      <w:pPr>
        <w:bidi/>
        <w:jc w:val="both"/>
        <w:rPr>
          <w:rtl/>
          <w:lang w:bidi="ar-EG"/>
        </w:rPr>
      </w:pPr>
      <w:r>
        <w:rPr>
          <w:rFonts w:hint="cs"/>
          <w:rtl/>
          <w:lang w:bidi="ar-EG"/>
        </w:rPr>
        <w:t>في إجابته صد استيفانوس كل الاتهامات الأربعة وأظهر بأنها ليس لها أساس بالمرة. على العكس: إن شعب إسرائيل كان المذنب في هذه الخطايا. بذلك غيّر استيفانوس التسلسل. هو تكلم أولاً عن الله، ومن ثم عن موسى، وبعد ذلك عن الهيكل وأخيرًا عن الناموس.</w:t>
      </w:r>
    </w:p>
    <w:p w14:paraId="3D6BDA7D" w14:textId="7FDE4CD5" w:rsidR="0015469D" w:rsidRDefault="00E201E4" w:rsidP="00E201E4">
      <w:pPr>
        <w:pStyle w:val="a7"/>
        <w:numPr>
          <w:ilvl w:val="0"/>
          <w:numId w:val="1"/>
        </w:numPr>
        <w:bidi/>
        <w:jc w:val="both"/>
        <w:rPr>
          <w:lang w:bidi="ar-EG"/>
        </w:rPr>
      </w:pPr>
      <w:r>
        <w:rPr>
          <w:rFonts w:hint="cs"/>
          <w:rtl/>
          <w:lang w:bidi="ar-EG"/>
        </w:rPr>
        <w:t>ضد الله: هو نقض اتهامهم في مثل إبراهيم ويعقوب اللذين عمل الله</w:t>
      </w:r>
      <w:r w:rsidR="0087094F">
        <w:rPr>
          <w:rFonts w:hint="cs"/>
          <w:rtl/>
          <w:lang w:bidi="ar-EG"/>
        </w:rPr>
        <w:t xml:space="preserve"> في حياتهما بشكل خاص بالنعمة.</w:t>
      </w:r>
    </w:p>
    <w:p w14:paraId="0E36808B" w14:textId="6B1004F1" w:rsidR="0087094F" w:rsidRDefault="0087094F" w:rsidP="0087094F">
      <w:pPr>
        <w:pStyle w:val="a7"/>
        <w:numPr>
          <w:ilvl w:val="0"/>
          <w:numId w:val="1"/>
        </w:numPr>
        <w:bidi/>
        <w:jc w:val="both"/>
        <w:rPr>
          <w:lang w:bidi="ar-EG"/>
        </w:rPr>
      </w:pPr>
      <w:r>
        <w:rPr>
          <w:rFonts w:hint="cs"/>
          <w:rtl/>
          <w:lang w:bidi="ar-EG"/>
        </w:rPr>
        <w:t>ضد موسى: هو نقض اتهامهم في مثال موسى نفسه مَن رفضته إسرائيل.</w:t>
      </w:r>
    </w:p>
    <w:p w14:paraId="609A7474" w14:textId="76409EBA" w:rsidR="0087094F" w:rsidRDefault="0087094F" w:rsidP="0087094F">
      <w:pPr>
        <w:pStyle w:val="a7"/>
        <w:numPr>
          <w:ilvl w:val="0"/>
          <w:numId w:val="1"/>
        </w:numPr>
        <w:bidi/>
        <w:jc w:val="both"/>
        <w:rPr>
          <w:lang w:bidi="ar-EG"/>
        </w:rPr>
      </w:pPr>
      <w:r>
        <w:rPr>
          <w:rFonts w:hint="cs"/>
          <w:rtl/>
          <w:lang w:bidi="ar-EG"/>
        </w:rPr>
        <w:t>ضد الهيكل: هو نقض اتهامهم في مثل داود وسليمان، اللذان خططا لبناء الهيكل أو نفذوه.</w:t>
      </w:r>
    </w:p>
    <w:p w14:paraId="28162DB9" w14:textId="7C94CC02" w:rsidR="0087094F" w:rsidRDefault="0087094F" w:rsidP="0087094F">
      <w:pPr>
        <w:pStyle w:val="a7"/>
        <w:numPr>
          <w:ilvl w:val="0"/>
          <w:numId w:val="1"/>
        </w:numPr>
        <w:bidi/>
        <w:jc w:val="both"/>
        <w:rPr>
          <w:lang w:bidi="ar-EG"/>
        </w:rPr>
      </w:pPr>
      <w:r>
        <w:rPr>
          <w:rFonts w:hint="cs"/>
          <w:rtl/>
          <w:lang w:bidi="ar-EG"/>
        </w:rPr>
        <w:t>ضد الناموس: هو نقض اتهامهم في مثل مقاومتهم وعصيانهم.</w:t>
      </w:r>
    </w:p>
    <w:p w14:paraId="73635C57" w14:textId="5EFC138B" w:rsidR="0087094F" w:rsidRDefault="0087094F" w:rsidP="0087094F">
      <w:pPr>
        <w:bidi/>
        <w:jc w:val="both"/>
        <w:rPr>
          <w:rtl/>
          <w:lang w:bidi="ar-EG"/>
        </w:rPr>
      </w:pPr>
      <w:r>
        <w:rPr>
          <w:rFonts w:hint="cs"/>
          <w:rtl/>
          <w:lang w:bidi="ar-EG"/>
        </w:rPr>
        <w:t>استيفانوس وضّح، بأن الله دائمًا ما ظهر في تاريخ إسرائيل في نعمة، وبأن النعمة تم رفضها على الدوام. هذا ما يميز كل الخطاب المتميز بانعكاسات عظيمة في خصوصه.</w:t>
      </w:r>
    </w:p>
    <w:p w14:paraId="078696D6" w14:textId="1C9262D8" w:rsidR="0087094F" w:rsidRDefault="00C74AC1" w:rsidP="0087094F">
      <w:pPr>
        <w:bidi/>
        <w:jc w:val="both"/>
        <w:rPr>
          <w:rtl/>
          <w:lang w:bidi="ar-EG"/>
        </w:rPr>
      </w:pPr>
      <w:r>
        <w:rPr>
          <w:rFonts w:ascii="Noto Serif" w:hAnsi="Noto Serif" w:cs="Noto Serif"/>
          <w:color w:val="333333"/>
          <w:sz w:val="19"/>
          <w:szCs w:val="19"/>
          <w:shd w:val="clear" w:color="auto" w:fill="FFFFFF"/>
        </w:rPr>
        <w:t>Stephanus gibt keineswegs einen willkürlichen</w:t>
      </w:r>
    </w:p>
    <w:sectPr w:rsidR="0087094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D988DA" w14:textId="77777777" w:rsidR="000E4DFB" w:rsidRDefault="000E4DFB" w:rsidP="00FB60E7">
      <w:pPr>
        <w:spacing w:after="0" w:line="240" w:lineRule="auto"/>
      </w:pPr>
      <w:r>
        <w:separator/>
      </w:r>
    </w:p>
  </w:endnote>
  <w:endnote w:type="continuationSeparator" w:id="0">
    <w:p w14:paraId="37C5A13A" w14:textId="77777777" w:rsidR="000E4DFB" w:rsidRDefault="000E4DFB" w:rsidP="00FB60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Noto Serif">
    <w:charset w:val="00"/>
    <w:family w:val="roman"/>
    <w:pitch w:val="variable"/>
    <w:sig w:usb0="E00002FF" w:usb1="500078FF" w:usb2="00000029"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C3CE21" w14:textId="77777777" w:rsidR="000E4DFB" w:rsidRDefault="000E4DFB" w:rsidP="00FB60E7">
      <w:pPr>
        <w:spacing w:after="0" w:line="240" w:lineRule="auto"/>
      </w:pPr>
      <w:r>
        <w:separator/>
      </w:r>
    </w:p>
  </w:footnote>
  <w:footnote w:type="continuationSeparator" w:id="0">
    <w:p w14:paraId="2E7AD274" w14:textId="77777777" w:rsidR="000E4DFB" w:rsidRDefault="000E4DFB" w:rsidP="00FB60E7">
      <w:pPr>
        <w:spacing w:after="0" w:line="240" w:lineRule="auto"/>
      </w:pPr>
      <w:r>
        <w:continuationSeparator/>
      </w:r>
    </w:p>
  </w:footnote>
  <w:footnote w:id="1">
    <w:p w14:paraId="71B5A306" w14:textId="719AC945" w:rsidR="00FB60E7" w:rsidRPr="00FB60E7" w:rsidRDefault="00FB60E7" w:rsidP="00FB60E7">
      <w:pPr>
        <w:pStyle w:val="a4"/>
        <w:bidi/>
        <w:jc w:val="both"/>
        <w:rPr>
          <w:b/>
          <w:bCs/>
          <w:sz w:val="26"/>
          <w:szCs w:val="26"/>
          <w:rtl/>
          <w:lang w:bidi="ar-EG"/>
        </w:rPr>
      </w:pPr>
      <w:r>
        <w:rPr>
          <w:rStyle w:val="a6"/>
        </w:rPr>
        <w:footnoteRef/>
      </w:r>
      <w:r>
        <w:t xml:space="preserve"> </w:t>
      </w:r>
      <w:r>
        <w:rPr>
          <w:rFonts w:hint="cs"/>
          <w:b/>
          <w:bCs/>
          <w:sz w:val="26"/>
          <w:szCs w:val="26"/>
          <w:rtl/>
          <w:lang w:bidi="ar-EG"/>
        </w:rPr>
        <w:t>في ذلك يدور الأمر حول</w:t>
      </w:r>
      <w:r w:rsidR="00861D46">
        <w:rPr>
          <w:rFonts w:hint="cs"/>
          <w:b/>
          <w:bCs/>
          <w:sz w:val="26"/>
          <w:szCs w:val="26"/>
          <w:rtl/>
          <w:lang w:bidi="ar-EG"/>
        </w:rPr>
        <w:t xml:space="preserve"> </w:t>
      </w:r>
      <w:r>
        <w:rPr>
          <w:rFonts w:hint="cs"/>
          <w:b/>
          <w:bCs/>
          <w:sz w:val="26"/>
          <w:szCs w:val="26"/>
          <w:rtl/>
          <w:lang w:bidi="ar-EG"/>
        </w:rPr>
        <w:t>المدعوين بالهيلينيين (قارن 6: 1؛ 9: 29؛ 11: 20)، أي يهود يتكلمون اليونانية، الذين قرأوا من الترجمة السبعينية (الترجمة اليونانية للعهد القديم). إنه من المحتمل جدًا، بأن استيفانوس هو كذلك كان هيلينيًا مثلهم (لكن هذا الأمر ليس أكيدًا تمامًا).</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E13E5D"/>
    <w:multiLevelType w:val="hybridMultilevel"/>
    <w:tmpl w:val="58B80120"/>
    <w:lvl w:ilvl="0" w:tplc="8BCA6BA6">
      <w:start w:val="1"/>
      <w:numFmt w:val="arabicAlpha"/>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9CA"/>
    <w:rsid w:val="00025385"/>
    <w:rsid w:val="000E4DFB"/>
    <w:rsid w:val="0015469D"/>
    <w:rsid w:val="00167BC5"/>
    <w:rsid w:val="0055119F"/>
    <w:rsid w:val="00614739"/>
    <w:rsid w:val="00770BDF"/>
    <w:rsid w:val="00861D46"/>
    <w:rsid w:val="0087094F"/>
    <w:rsid w:val="009869CA"/>
    <w:rsid w:val="00C74AC1"/>
    <w:rsid w:val="00E201E4"/>
    <w:rsid w:val="00FB60E7"/>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EBED6"/>
  <w15:chartTrackingRefBased/>
  <w15:docId w15:val="{BABF984B-D533-4FB4-86F0-E39B23DD0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I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unhideWhenUsed/>
    <w:rsid w:val="009869CA"/>
    <w:rPr>
      <w:color w:val="0563C1" w:themeColor="hyperlink"/>
      <w:u w:val="single"/>
    </w:rPr>
  </w:style>
  <w:style w:type="character" w:styleId="a3">
    <w:name w:val="Unresolved Mention"/>
    <w:basedOn w:val="a0"/>
    <w:uiPriority w:val="99"/>
    <w:semiHidden/>
    <w:unhideWhenUsed/>
    <w:rsid w:val="009869CA"/>
    <w:rPr>
      <w:color w:val="605E5C"/>
      <w:shd w:val="clear" w:color="auto" w:fill="E1DFDD"/>
    </w:rPr>
  </w:style>
  <w:style w:type="paragraph" w:styleId="a4">
    <w:name w:val="footnote text"/>
    <w:basedOn w:val="a"/>
    <w:link w:val="a5"/>
    <w:uiPriority w:val="99"/>
    <w:semiHidden/>
    <w:unhideWhenUsed/>
    <w:rsid w:val="00FB60E7"/>
    <w:pPr>
      <w:spacing w:after="0" w:line="240" w:lineRule="auto"/>
    </w:pPr>
    <w:rPr>
      <w:sz w:val="20"/>
      <w:szCs w:val="20"/>
    </w:rPr>
  </w:style>
  <w:style w:type="character" w:customStyle="1" w:styleId="a5">
    <w:name w:val="טקסט הערת שוליים תו"/>
    <w:basedOn w:val="a0"/>
    <w:link w:val="a4"/>
    <w:uiPriority w:val="99"/>
    <w:semiHidden/>
    <w:rsid w:val="00FB60E7"/>
    <w:rPr>
      <w:sz w:val="20"/>
      <w:szCs w:val="20"/>
    </w:rPr>
  </w:style>
  <w:style w:type="character" w:styleId="a6">
    <w:name w:val="footnote reference"/>
    <w:basedOn w:val="a0"/>
    <w:uiPriority w:val="99"/>
    <w:semiHidden/>
    <w:unhideWhenUsed/>
    <w:rsid w:val="00FB60E7"/>
    <w:rPr>
      <w:vertAlign w:val="superscript"/>
    </w:rPr>
  </w:style>
  <w:style w:type="character" w:styleId="FollowedHyperlink">
    <w:name w:val="FollowedHyperlink"/>
    <w:basedOn w:val="a0"/>
    <w:uiPriority w:val="99"/>
    <w:semiHidden/>
    <w:unhideWhenUsed/>
    <w:rsid w:val="00770BDF"/>
    <w:rPr>
      <w:color w:val="954F72" w:themeColor="followedHyperlink"/>
      <w:u w:val="single"/>
    </w:rPr>
  </w:style>
  <w:style w:type="paragraph" w:styleId="a7">
    <w:name w:val="List Paragraph"/>
    <w:basedOn w:val="a"/>
    <w:uiPriority w:val="34"/>
    <w:qFormat/>
    <w:rsid w:val="00E201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778/die-rede-und-der-maertyrertod-des-stephanu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bibelkommentare.de/kommentare/k-9048/die-rede-und-der-maertyrertod-des-stephanus/a-die-rede-des-stephanus"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3B366A-DFAA-47F5-9197-6813286D72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Pages>
  <Words>523</Words>
  <Characters>2984</Characters>
  <Application>Microsoft Office Word</Application>
  <DocSecurity>0</DocSecurity>
  <Lines>24</Lines>
  <Paragraphs>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Evette Slaieh</cp:lastModifiedBy>
  <cp:revision>8</cp:revision>
  <dcterms:created xsi:type="dcterms:W3CDTF">2021-08-14T14:12:00Z</dcterms:created>
  <dcterms:modified xsi:type="dcterms:W3CDTF">2021-09-11T12:49:00Z</dcterms:modified>
</cp:coreProperties>
</file>