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9814D" w14:textId="0464ACD5" w:rsidR="00051645" w:rsidRDefault="00A525AE">
      <w:pPr>
        <w:rPr>
          <w:rtl/>
          <w:lang w:bidi="ar-LB"/>
        </w:rPr>
      </w:pPr>
      <w:r>
        <w:rPr>
          <w:rtl/>
          <w:lang w:bidi="ar-LB"/>
        </w:rPr>
        <w:fldChar w:fldCharType="begin"/>
      </w:r>
      <w:r>
        <w:rPr>
          <w:lang w:bidi="ar-LB"/>
        </w:rPr>
        <w:instrText>HYPERLINK</w:instrText>
      </w:r>
      <w:r>
        <w:rPr>
          <w:rtl/>
          <w:lang w:bidi="ar-LB"/>
        </w:rPr>
        <w:instrText xml:space="preserve"> "</w:instrText>
      </w:r>
      <w:r>
        <w:rPr>
          <w:lang w:bidi="ar-LB"/>
        </w:rPr>
        <w:instrText>https://www.bibelkommentare.de/kommentare/506/die-offenbarung</w:instrText>
      </w:r>
      <w:r>
        <w:rPr>
          <w:rtl/>
          <w:lang w:bidi="ar-LB"/>
        </w:rPr>
        <w:instrText>"</w:instrText>
      </w:r>
      <w:r>
        <w:rPr>
          <w:rtl/>
          <w:lang w:bidi="ar-LB"/>
        </w:rPr>
      </w:r>
      <w:r>
        <w:rPr>
          <w:rtl/>
          <w:lang w:bidi="ar-LB"/>
        </w:rPr>
        <w:fldChar w:fldCharType="separate"/>
      </w:r>
      <w:r w:rsidRPr="00A525AE">
        <w:rPr>
          <w:rStyle w:val="Hyperlink"/>
          <w:rtl/>
          <w:lang w:bidi="ar-LB"/>
        </w:rPr>
        <w:t>سفر الرؤيا</w:t>
      </w:r>
      <w:r>
        <w:rPr>
          <w:rtl/>
          <w:lang w:bidi="ar-LB"/>
        </w:rPr>
        <w:fldChar w:fldCharType="end"/>
      </w:r>
    </w:p>
    <w:p w14:paraId="695B3FB8" w14:textId="7564CD95" w:rsidR="00A525AE" w:rsidRDefault="00A525AE" w:rsidP="00A525AE">
      <w:pPr>
        <w:bidi w:val="0"/>
        <w:rPr>
          <w:lang w:bidi="ar-LB"/>
        </w:rPr>
      </w:pPr>
      <w:r w:rsidRPr="00A525AE">
        <w:rPr>
          <w:lang w:bidi="ar-LB"/>
        </w:rPr>
        <w:t>Frank Binford Hole</w:t>
      </w:r>
    </w:p>
    <w:p w14:paraId="16CB5D60" w14:textId="77777777" w:rsidR="00CB45B0" w:rsidRDefault="00A525AE">
      <w:pPr>
        <w:rPr>
          <w:rtl/>
          <w:lang w:bidi="ar-LB"/>
        </w:rPr>
        <w:sectPr w:rsidR="00CB45B0" w:rsidSect="0065628F">
          <w:pgSz w:w="11906" w:h="16838"/>
          <w:pgMar w:top="1440" w:right="1440" w:bottom="1440" w:left="1440" w:header="708" w:footer="708" w:gutter="0"/>
          <w:cols w:space="708"/>
          <w:docGrid w:linePitch="360"/>
        </w:sectPr>
      </w:pPr>
      <w:r>
        <w:rPr>
          <w:rFonts w:hint="cs"/>
          <w:rtl/>
          <w:lang w:bidi="ar-LB"/>
        </w:rPr>
        <w:t xml:space="preserve">إن السفر الذي سيشغلنا الآن يتميز بخصائص معينة واضحة. إنه السفر الوحيد في العهد الجديد المدعو </w:t>
      </w:r>
      <w:proofErr w:type="spellStart"/>
      <w:r>
        <w:rPr>
          <w:rFonts w:hint="cs"/>
          <w:rtl/>
          <w:lang w:bidi="ar-LB"/>
        </w:rPr>
        <w:t>بالـ"نبوة</w:t>
      </w:r>
      <w:proofErr w:type="spellEnd"/>
      <w:r>
        <w:rPr>
          <w:rFonts w:hint="cs"/>
          <w:rtl/>
          <w:lang w:bidi="ar-LB"/>
        </w:rPr>
        <w:t xml:space="preserve">" ويُرى فيه نصرة المشيئة والقصد الإلهي النهائي بشكل واضح. بالذات الكلمة التي تدل على النصرة، وإن كانت كثيرًا ما تُترجم مرة بالغلبة ومرة </w:t>
      </w:r>
      <w:r w:rsidRPr="00A525AE">
        <w:rPr>
          <w:rFonts w:hint="cs"/>
          <w:color w:val="FF0000"/>
          <w:rtl/>
          <w:lang w:bidi="ar-LB"/>
        </w:rPr>
        <w:t>بالنصرة</w:t>
      </w:r>
      <w:r>
        <w:rPr>
          <w:rFonts w:hint="cs"/>
          <w:rtl/>
          <w:lang w:bidi="ar-LB"/>
        </w:rPr>
        <w:t>، تقريبًا ترد فيه بقدر</w:t>
      </w:r>
      <w:r w:rsidR="00CB45B0">
        <w:rPr>
          <w:rFonts w:hint="cs"/>
          <w:rtl/>
          <w:lang w:bidi="ar-LB"/>
        </w:rPr>
        <w:t xml:space="preserve"> ما وردت في باقي العهد الجديد مجتمعة. كما يبدو أن سفر الرؤيا كُتب عند أواخر القرن الأول؛ حينما، وكما يُري ذلك كل من إنجيل يوحنا ورسائله، بدأ ظهور معلمون كذبة وحتى ضد المسيحية في أعداد كبيرة. وكنتيجة لهذا الأمر قد يشعر المؤمنون الحقيقيون والأمناء بالهزيمة وقد ينتشر فيما بينهم الشعور بالتراجع فيما بينهم. فكم كان الأمر ملائمًا بأن تُختم كلمة الله الموحى بها بسفر يصف</w:t>
      </w:r>
      <w:r w:rsidR="00CB45B0" w:rsidRPr="00CB45B0">
        <w:rPr>
          <w:rtl/>
        </w:rPr>
        <w:t xml:space="preserve"> </w:t>
      </w:r>
      <w:r w:rsidR="00CB45B0" w:rsidRPr="00CB45B0">
        <w:rPr>
          <w:rtl/>
          <w:lang w:bidi="ar-LB"/>
        </w:rPr>
        <w:t>النصرة النهائية</w:t>
      </w:r>
      <w:r w:rsidR="00CB45B0">
        <w:rPr>
          <w:rFonts w:hint="cs"/>
          <w:rtl/>
          <w:lang w:bidi="ar-LB"/>
        </w:rPr>
        <w:t xml:space="preserve"> بأوصاف مؤثرة. كما وستظهر علامات متميزة من خلال التأمل.</w:t>
      </w:r>
    </w:p>
    <w:p w14:paraId="10BAD61A" w14:textId="5BA2AD44" w:rsidR="00A525AE" w:rsidRDefault="00CB45B0">
      <w:pPr>
        <w:rPr>
          <w:rtl/>
          <w:lang w:bidi="ar-LB"/>
        </w:rPr>
      </w:pPr>
      <w:hyperlink r:id="rId4" w:history="1">
        <w:r w:rsidRPr="00CB45B0">
          <w:rPr>
            <w:rStyle w:val="Hyperlink"/>
            <w:rFonts w:hint="cs"/>
            <w:rtl/>
            <w:lang w:bidi="ar-LB"/>
          </w:rPr>
          <w:t>إصحاح 1</w:t>
        </w:r>
      </w:hyperlink>
    </w:p>
    <w:p w14:paraId="7F914498" w14:textId="0A03AF57" w:rsidR="00CB45B0" w:rsidRDefault="00865FBA">
      <w:pPr>
        <w:rPr>
          <w:rtl/>
          <w:lang w:bidi="ar-LB"/>
        </w:rPr>
      </w:pPr>
      <w:r>
        <w:rPr>
          <w:rFonts w:hint="cs"/>
          <w:rtl/>
          <w:lang w:bidi="ar-LB"/>
        </w:rPr>
        <w:t>إنه "</w:t>
      </w:r>
      <w:r w:rsidRPr="00865FBA">
        <w:rPr>
          <w:rtl/>
        </w:rPr>
        <w:t xml:space="preserve"> </w:t>
      </w:r>
      <w:r w:rsidRPr="00865FBA">
        <w:rPr>
          <w:rtl/>
          <w:lang w:bidi="ar-LB"/>
        </w:rPr>
        <w:t>عْلاَنُ يَسُوعَ الْمَسِيحِ، الَّذِي أَعْطَاهُ إِيَّاهُ اللهُ</w:t>
      </w:r>
      <w:r>
        <w:rPr>
          <w:rFonts w:hint="cs"/>
          <w:rtl/>
          <w:lang w:bidi="ar-LB"/>
        </w:rPr>
        <w:t>" هذا يعني كشف عن أحداث ستحدث في المستقبل، لأن المفهوم البسيط "للإعلان" أو "</w:t>
      </w:r>
      <w:proofErr w:type="spellStart"/>
      <w:r>
        <w:rPr>
          <w:rFonts w:hint="cs"/>
          <w:rtl/>
          <w:lang w:bidi="ar-LB"/>
        </w:rPr>
        <w:t>الأبوكالوبس</w:t>
      </w:r>
      <w:proofErr w:type="spellEnd"/>
      <w:r>
        <w:rPr>
          <w:rFonts w:hint="cs"/>
          <w:rtl/>
          <w:lang w:bidi="ar-LB"/>
        </w:rPr>
        <w:t>" هو "الكشف". بالطبع صحيح هو أن الكشف عن هذه الأمور المستقبلية متعلقة بكشف أو إعلان يسوع المسيح في مجده، لكن المعنى الأساسي يكمن في أن الله أعطى يسوع إعلان الأحداث في المستقبل حتى يُريها لعبيده. كل جملة في هذا العدد الأول يستحق لفت انتباهنا كله.</w:t>
      </w:r>
    </w:p>
    <w:p w14:paraId="6E18AA12" w14:textId="03C22385" w:rsidR="00865FBA" w:rsidRDefault="00865FBA">
      <w:pPr>
        <w:rPr>
          <w:rtl/>
          <w:lang w:bidi="ar-LB"/>
        </w:rPr>
      </w:pPr>
      <w:r>
        <w:rPr>
          <w:rFonts w:hint="cs"/>
          <w:rtl/>
          <w:lang w:bidi="ar-LB"/>
        </w:rPr>
        <w:t xml:space="preserve">الملفت هو أولاً بأنه مكتوب عن هذا الإعلان، بأنه أُعطي ليسوع، وليس أنه هو الذي أصدره. ومن ثم يُقدّم كالخادم للمشيئة والقصد الإلهي كما نراه في إنجيل مرقس، وفي هذا الإنجيل نجد أيضًا الموضع حيث يقول بأنه لا يعرف لا يوم ولا ساعة مجيئه (مرقس 13: 32). إنه هنا أيضًا خادم الله الذي سيُعرّفنا بأحداث في المستقبل، </w:t>
      </w:r>
      <w:r w:rsidR="006A6C83">
        <w:rPr>
          <w:rFonts w:hint="cs"/>
          <w:rtl/>
          <w:lang w:bidi="ar-LB"/>
        </w:rPr>
        <w:t>كما قد أُعطيت له شخصيًا. عدا ذلك يوحنا، الذي استلم الإعلان منه، لا يتكلم عن نفسه كرسول، وإنما كعبد، والذين يؤتمنون عليه لا يُدعَون هنا قديسين، وإنما عبيد كذلك. لقد كانت فترة بد</w:t>
      </w:r>
      <w:r w:rsidR="005D16B0">
        <w:rPr>
          <w:rFonts w:hint="cs"/>
          <w:rtl/>
          <w:lang w:bidi="ar-LB"/>
        </w:rPr>
        <w:t>ت ملامح</w:t>
      </w:r>
      <w:r w:rsidR="006A6C83">
        <w:rPr>
          <w:rFonts w:hint="cs"/>
          <w:rtl/>
          <w:lang w:bidi="ar-LB"/>
        </w:rPr>
        <w:t xml:space="preserve"> الارتداد تظهر</w:t>
      </w:r>
      <w:r w:rsidR="005D16B0" w:rsidRPr="005D16B0">
        <w:rPr>
          <w:rtl/>
        </w:rPr>
        <w:t xml:space="preserve"> </w:t>
      </w:r>
      <w:r w:rsidR="006A6C83">
        <w:rPr>
          <w:rFonts w:hint="cs"/>
          <w:rtl/>
          <w:lang w:bidi="ar-LB"/>
        </w:rPr>
        <w:t>بوضوح</w:t>
      </w:r>
      <w:r w:rsidR="005D16B0" w:rsidRPr="005D16B0">
        <w:rPr>
          <w:rtl/>
        </w:rPr>
        <w:t xml:space="preserve"> </w:t>
      </w:r>
      <w:r w:rsidR="005D16B0" w:rsidRPr="005D16B0">
        <w:rPr>
          <w:rtl/>
          <w:lang w:bidi="ar-LB"/>
        </w:rPr>
        <w:t>فيها</w:t>
      </w:r>
      <w:r w:rsidR="006A6C83">
        <w:rPr>
          <w:rFonts w:hint="cs"/>
          <w:rtl/>
          <w:lang w:bidi="ar-LB"/>
        </w:rPr>
        <w:t xml:space="preserve">. فبينما ذيعت أخبار للكنائس </w:t>
      </w:r>
      <w:r w:rsidR="006A6C83">
        <w:rPr>
          <w:rtl/>
          <w:lang w:bidi="ar-LB"/>
        </w:rPr>
        <w:t>–</w:t>
      </w:r>
      <w:r w:rsidR="006A6C83">
        <w:rPr>
          <w:rFonts w:hint="cs"/>
          <w:rtl/>
          <w:lang w:bidi="ar-LB"/>
        </w:rPr>
        <w:t xml:space="preserve"> التي هي أيضًا جعلتهم يعرفون بهذه التطورات -، إلا أن الإعلان سُلم للذين هم فعلاً عبيد الله ولأجل ذلك هم قدّروه. إنه أمر لا زال </w:t>
      </w:r>
      <w:r w:rsidR="005D16B0">
        <w:rPr>
          <w:rFonts w:hint="cs"/>
          <w:rtl/>
          <w:lang w:bidi="ar-LB"/>
        </w:rPr>
        <w:t xml:space="preserve">يُلفت الانتباه، بأن الناس الذين هم مجرد معترفين بالمسيح ولم يرجعوا عن طرقهم بعد، يُسيئون إلى سمعة سفر الرؤيا، إن كانوا حتى يسخرون منه. والمؤمنون الذين يفكرون بالأمور العالمية لا يأبهون لأي شيء فيه. فهم لا </w:t>
      </w:r>
      <w:hyperlink r:id="rId5" w:anchor=":~:text=Ein%20weiteres%20Kennzeichen%20ist%20die%20indirekte%20Art" w:history="1">
        <w:r w:rsidR="005D16B0" w:rsidRPr="003F4563">
          <w:rPr>
            <w:rStyle w:val="Hyperlink"/>
            <w:rFonts w:hint="cs"/>
            <w:rtl/>
            <w:lang w:bidi="ar-LB"/>
          </w:rPr>
          <w:t>يهتمون</w:t>
        </w:r>
      </w:hyperlink>
      <w:r w:rsidR="005D16B0">
        <w:rPr>
          <w:rFonts w:hint="cs"/>
          <w:rtl/>
          <w:lang w:bidi="ar-LB"/>
        </w:rPr>
        <w:t xml:space="preserve"> به.</w:t>
      </w:r>
    </w:p>
    <w:p w14:paraId="760A0E3F" w14:textId="77777777" w:rsidR="005D16B0" w:rsidRDefault="005D16B0">
      <w:pPr>
        <w:rPr>
          <w:rFonts w:hint="cs"/>
          <w:lang w:bidi="ar-LB"/>
        </w:rPr>
      </w:pPr>
    </w:p>
    <w:sectPr w:rsidR="005D16B0" w:rsidSect="006562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51F"/>
    <w:rsid w:val="00051645"/>
    <w:rsid w:val="001325BA"/>
    <w:rsid w:val="003F4563"/>
    <w:rsid w:val="005C7D3F"/>
    <w:rsid w:val="005D16B0"/>
    <w:rsid w:val="0065628F"/>
    <w:rsid w:val="006A3239"/>
    <w:rsid w:val="006A6C83"/>
    <w:rsid w:val="00865FBA"/>
    <w:rsid w:val="00A1051F"/>
    <w:rsid w:val="00A525AE"/>
    <w:rsid w:val="00CB45B0"/>
    <w:rsid w:val="00F739E1"/>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C3CE9"/>
  <w15:chartTrackingRefBased/>
  <w15:docId w15:val="{911AD174-F114-4D42-9CA7-3186ABD13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5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05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51F"/>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A1051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1051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1051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1051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1051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1051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5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5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51F"/>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A1051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1051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1051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1051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1051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1051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105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5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51F"/>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A1051F"/>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A1051F"/>
    <w:pPr>
      <w:spacing w:before="160"/>
      <w:jc w:val="center"/>
    </w:pPr>
    <w:rPr>
      <w:i/>
      <w:iCs/>
      <w:color w:val="404040" w:themeColor="text1" w:themeTint="BF"/>
    </w:rPr>
  </w:style>
  <w:style w:type="character" w:customStyle="1" w:styleId="QuoteChar">
    <w:name w:val="Quote Char"/>
    <w:basedOn w:val="DefaultParagraphFont"/>
    <w:link w:val="Quote"/>
    <w:uiPriority w:val="29"/>
    <w:rsid w:val="00A1051F"/>
    <w:rPr>
      <w:i/>
      <w:iCs/>
      <w:color w:val="404040" w:themeColor="text1" w:themeTint="BF"/>
    </w:rPr>
  </w:style>
  <w:style w:type="paragraph" w:styleId="ListParagraph">
    <w:name w:val="List Paragraph"/>
    <w:basedOn w:val="Normal"/>
    <w:uiPriority w:val="34"/>
    <w:qFormat/>
    <w:rsid w:val="00A1051F"/>
    <w:pPr>
      <w:ind w:left="720"/>
      <w:contextualSpacing/>
    </w:pPr>
  </w:style>
  <w:style w:type="character" w:styleId="IntenseEmphasis">
    <w:name w:val="Intense Emphasis"/>
    <w:basedOn w:val="DefaultParagraphFont"/>
    <w:uiPriority w:val="21"/>
    <w:qFormat/>
    <w:rsid w:val="00A1051F"/>
    <w:rPr>
      <w:i/>
      <w:iCs/>
      <w:color w:val="0F4761" w:themeColor="accent1" w:themeShade="BF"/>
    </w:rPr>
  </w:style>
  <w:style w:type="paragraph" w:styleId="IntenseQuote">
    <w:name w:val="Intense Quote"/>
    <w:basedOn w:val="Normal"/>
    <w:next w:val="Normal"/>
    <w:link w:val="IntenseQuoteChar"/>
    <w:uiPriority w:val="30"/>
    <w:qFormat/>
    <w:rsid w:val="00A105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51F"/>
    <w:rPr>
      <w:i/>
      <w:iCs/>
      <w:color w:val="0F4761" w:themeColor="accent1" w:themeShade="BF"/>
    </w:rPr>
  </w:style>
  <w:style w:type="character" w:styleId="IntenseReference">
    <w:name w:val="Intense Reference"/>
    <w:basedOn w:val="DefaultParagraphFont"/>
    <w:uiPriority w:val="32"/>
    <w:qFormat/>
    <w:rsid w:val="00A1051F"/>
    <w:rPr>
      <w:b/>
      <w:bCs/>
      <w:smallCaps/>
      <w:color w:val="0F4761" w:themeColor="accent1" w:themeShade="BF"/>
      <w:spacing w:val="5"/>
    </w:rPr>
  </w:style>
  <w:style w:type="character" w:styleId="Hyperlink">
    <w:name w:val="Hyperlink"/>
    <w:basedOn w:val="DefaultParagraphFont"/>
    <w:uiPriority w:val="99"/>
    <w:unhideWhenUsed/>
    <w:rsid w:val="00A525AE"/>
    <w:rPr>
      <w:color w:val="467886" w:themeColor="hyperlink"/>
      <w:u w:val="single"/>
    </w:rPr>
  </w:style>
  <w:style w:type="character" w:styleId="UnresolvedMention">
    <w:name w:val="Unresolved Mention"/>
    <w:basedOn w:val="DefaultParagraphFont"/>
    <w:uiPriority w:val="99"/>
    <w:semiHidden/>
    <w:unhideWhenUsed/>
    <w:rsid w:val="00A52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ibelkommentare.de/kommentare/k-4118/die-offenbarung/kapitel-1" TargetMode="External"/><Relationship Id="rId4" Type="http://schemas.openxmlformats.org/officeDocument/2006/relationships/hyperlink" Target="https://www.bibelkommentare.de/kommentare/k-4118/die-offenbarung/kapite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3</cp:revision>
  <dcterms:created xsi:type="dcterms:W3CDTF">2024-12-23T02:25:00Z</dcterms:created>
  <dcterms:modified xsi:type="dcterms:W3CDTF">2024-12-23T03:15:00Z</dcterms:modified>
</cp:coreProperties>
</file>