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FC25A" w14:textId="7FE6FEE2" w:rsidR="00051645" w:rsidRPr="00EC09FA" w:rsidRDefault="007743F7" w:rsidP="00EC09FA">
      <w:pPr>
        <w:jc w:val="center"/>
        <w:rPr>
          <w:b/>
          <w:bCs/>
          <w:u w:val="single"/>
          <w:rtl/>
          <w:lang w:bidi="ar-LB"/>
        </w:rPr>
      </w:pPr>
      <w:hyperlink r:id="rId5" w:history="1">
        <w:r w:rsidR="00EB39BE" w:rsidRPr="007743F7">
          <w:rPr>
            <w:rStyle w:val="Hyperlink"/>
            <w:rFonts w:hint="cs"/>
            <w:b/>
            <w:bCs/>
            <w:rtl/>
            <w:lang w:bidi="ar-LB"/>
          </w:rPr>
          <w:t>ثقة في مواجهة الموت</w:t>
        </w:r>
      </w:hyperlink>
    </w:p>
    <w:p w14:paraId="68BC1D3F" w14:textId="70098370" w:rsidR="00EB39BE" w:rsidRDefault="00EB39BE" w:rsidP="00EB39BE">
      <w:pPr>
        <w:bidi w:val="0"/>
        <w:rPr>
          <w:rtl/>
          <w:lang w:bidi="ar-LB"/>
        </w:rPr>
      </w:pPr>
      <w:r w:rsidRPr="00EB39BE">
        <w:rPr>
          <w:lang w:bidi="ar-LB"/>
        </w:rPr>
        <w:t>Gerrid Setzer</w:t>
      </w:r>
    </w:p>
    <w:p w14:paraId="03DA5B68" w14:textId="057C4BD8" w:rsidR="00EB39BE" w:rsidRPr="00EC09FA" w:rsidRDefault="00EB39BE">
      <w:pPr>
        <w:rPr>
          <w:b/>
          <w:bCs/>
          <w:u w:val="single"/>
          <w:rtl/>
          <w:lang w:bidi="ar-LB"/>
        </w:rPr>
      </w:pPr>
      <w:r w:rsidRPr="00EC09FA">
        <w:rPr>
          <w:rFonts w:hint="cs"/>
          <w:b/>
          <w:bCs/>
          <w:u w:val="single"/>
          <w:rtl/>
          <w:lang w:bidi="ar-LB"/>
        </w:rPr>
        <w:t xml:space="preserve">2. ملوك 4: 17 </w:t>
      </w:r>
      <w:r w:rsidRPr="00EC09FA">
        <w:rPr>
          <w:b/>
          <w:bCs/>
          <w:u w:val="single"/>
          <w:rtl/>
          <w:lang w:bidi="ar-LB"/>
        </w:rPr>
        <w:t>–</w:t>
      </w:r>
      <w:r w:rsidRPr="00EC09FA">
        <w:rPr>
          <w:rFonts w:hint="cs"/>
          <w:b/>
          <w:bCs/>
          <w:u w:val="single"/>
          <w:rtl/>
          <w:lang w:bidi="ar-LB"/>
        </w:rPr>
        <w:t xml:space="preserve"> 37</w:t>
      </w:r>
    </w:p>
    <w:p w14:paraId="18F843ED" w14:textId="560D03F4" w:rsidR="00EB39BE" w:rsidRDefault="00EB39BE">
      <w:pPr>
        <w:rPr>
          <w:rtl/>
          <w:lang w:bidi="ar-LB"/>
        </w:rPr>
      </w:pPr>
      <w:r>
        <w:rPr>
          <w:rFonts w:hint="cs"/>
          <w:rtl/>
          <w:lang w:bidi="ar-LB"/>
        </w:rPr>
        <w:t>امرأة ثرية في شونم اختبرت موت ابنها الوحيد. هذا الحدث الفظيع تعاملت معه بالإيمان. دعونا نرى إيمان هذه المرأة:</w:t>
      </w:r>
    </w:p>
    <w:p w14:paraId="3CB860C6" w14:textId="4290DB9B" w:rsidR="00EB39BE" w:rsidRDefault="00EB39BE" w:rsidP="00EB39BE">
      <w:pPr>
        <w:pStyle w:val="ListParagraph"/>
        <w:numPr>
          <w:ilvl w:val="0"/>
          <w:numId w:val="1"/>
        </w:numPr>
        <w:rPr>
          <w:lang w:bidi="ar-LB"/>
        </w:rPr>
      </w:pPr>
      <w:r>
        <w:rPr>
          <w:rFonts w:hint="cs"/>
          <w:rtl/>
          <w:lang w:bidi="ar-LB"/>
        </w:rPr>
        <w:t>هي اعتبرت موت ابنها كتحدي لإيمانها وتعاملت معه بهذا الاعتبار.</w:t>
      </w:r>
    </w:p>
    <w:p w14:paraId="6D6587E8" w14:textId="0DB8ADD5" w:rsidR="00EB39BE" w:rsidRDefault="00EB39BE" w:rsidP="00EB39BE">
      <w:pPr>
        <w:pStyle w:val="ListParagraph"/>
        <w:numPr>
          <w:ilvl w:val="0"/>
          <w:numId w:val="1"/>
        </w:numPr>
        <w:rPr>
          <w:lang w:bidi="ar-LB"/>
        </w:rPr>
      </w:pPr>
      <w:r>
        <w:rPr>
          <w:rFonts w:hint="cs"/>
          <w:rtl/>
          <w:lang w:bidi="ar-LB"/>
        </w:rPr>
        <w:t>تعاملها كان بحزم وإصرار ومن دون أي تأخير. هي لم تُعدّ أمور الدفن، وإنما ما هو للقيامة.</w:t>
      </w:r>
    </w:p>
    <w:p w14:paraId="36C84C53" w14:textId="77777777" w:rsidR="00EB39BE" w:rsidRDefault="00EB39BE" w:rsidP="00EB39BE">
      <w:pPr>
        <w:pStyle w:val="ListParagraph"/>
        <w:numPr>
          <w:ilvl w:val="0"/>
          <w:numId w:val="1"/>
        </w:numPr>
        <w:rPr>
          <w:lang w:bidi="ar-LB"/>
        </w:rPr>
      </w:pPr>
      <w:r>
        <w:rPr>
          <w:rFonts w:hint="cs"/>
          <w:rtl/>
          <w:lang w:bidi="ar-LB"/>
        </w:rPr>
        <w:t>هي لم تتجاهل مقابلة زوجها في سعيها لطلب النبي. في محنتها هي بقيت حذرة في قراراتها وخاضعة.</w:t>
      </w:r>
    </w:p>
    <w:p w14:paraId="4873768B" w14:textId="748C408D" w:rsidR="00EB39BE" w:rsidRDefault="00EB39BE" w:rsidP="00EB39BE">
      <w:pPr>
        <w:pStyle w:val="ListParagraph"/>
        <w:numPr>
          <w:ilvl w:val="0"/>
          <w:numId w:val="1"/>
        </w:numPr>
        <w:rPr>
          <w:lang w:bidi="ar-LB"/>
        </w:rPr>
      </w:pPr>
      <w:r>
        <w:rPr>
          <w:rFonts w:hint="cs"/>
          <w:rtl/>
          <w:lang w:bidi="ar-LB"/>
        </w:rPr>
        <w:t>هي لم تُعطِ مجا</w:t>
      </w:r>
      <w:r w:rsidR="000B60A6">
        <w:rPr>
          <w:rFonts w:hint="cs"/>
          <w:rtl/>
          <w:lang w:bidi="ar-LB"/>
        </w:rPr>
        <w:t>لاً</w:t>
      </w:r>
      <w:r>
        <w:rPr>
          <w:rFonts w:hint="cs"/>
          <w:rtl/>
          <w:lang w:bidi="ar-LB"/>
        </w:rPr>
        <w:t xml:space="preserve"> بأن تتحطم عزيمتها من خلال زوجها الغير مؤمن في ذهابها إلى النبي.</w:t>
      </w:r>
    </w:p>
    <w:p w14:paraId="4DCD8B72" w14:textId="4B522863" w:rsidR="00EB39BE" w:rsidRDefault="00EB39BE" w:rsidP="00EB39BE">
      <w:pPr>
        <w:pStyle w:val="ListParagraph"/>
        <w:numPr>
          <w:ilvl w:val="0"/>
          <w:numId w:val="1"/>
        </w:numPr>
        <w:rPr>
          <w:lang w:bidi="ar-LB"/>
        </w:rPr>
      </w:pPr>
      <w:r>
        <w:rPr>
          <w:rFonts w:hint="cs"/>
          <w:rtl/>
          <w:lang w:bidi="ar-LB"/>
        </w:rPr>
        <w:t>هي مضت إلى النبي</w:t>
      </w:r>
      <w:r w:rsidR="00EC09FA">
        <w:rPr>
          <w:rFonts w:hint="cs"/>
          <w:rtl/>
          <w:lang w:bidi="ar-LB"/>
        </w:rPr>
        <w:t xml:space="preserve"> الذي كان الآنية لتسليمها ابنها لأول مرة؛ فهي فعلت ذلك وهي واثقة بأنه سيرده لها ثانية.</w:t>
      </w:r>
    </w:p>
    <w:p w14:paraId="1FA0AE78" w14:textId="61DD8E38" w:rsidR="00EC09FA" w:rsidRDefault="00EC09FA" w:rsidP="00EB39BE">
      <w:pPr>
        <w:pStyle w:val="ListParagraph"/>
        <w:numPr>
          <w:ilvl w:val="0"/>
          <w:numId w:val="1"/>
        </w:numPr>
        <w:rPr>
          <w:lang w:bidi="ar-LB"/>
        </w:rPr>
      </w:pPr>
      <w:r>
        <w:rPr>
          <w:rFonts w:hint="cs"/>
          <w:rtl/>
          <w:lang w:bidi="ar-LB"/>
        </w:rPr>
        <w:t>هي فهمت بأن جيحزي لا يمكنه أن يعينها، وإنما</w:t>
      </w:r>
      <w:r w:rsidR="007743F7">
        <w:rPr>
          <w:rFonts w:hint="cs"/>
          <w:rtl/>
          <w:lang w:bidi="ar-LB"/>
        </w:rPr>
        <w:t xml:space="preserve"> مَن سيعينها هو</w:t>
      </w:r>
      <w:r>
        <w:rPr>
          <w:rFonts w:hint="cs"/>
          <w:rtl/>
          <w:lang w:bidi="ar-LB"/>
        </w:rPr>
        <w:t xml:space="preserve"> فقط الرجل الذي يمثّل الله.</w:t>
      </w:r>
    </w:p>
    <w:p w14:paraId="6DF71227" w14:textId="71897B25" w:rsidR="00EC09FA" w:rsidRDefault="00EC09FA" w:rsidP="00EC09FA">
      <w:pPr>
        <w:rPr>
          <w:rtl/>
          <w:lang w:bidi="ar-LB"/>
        </w:rPr>
      </w:pPr>
      <w:r>
        <w:rPr>
          <w:rFonts w:hint="cs"/>
          <w:rtl/>
          <w:lang w:bidi="ar-LB"/>
        </w:rPr>
        <w:t>والله استجاب لإيمان هذه المرأة: ابنها أُقيم. وقد حدث لها بحسب إيمانها. وهكذا هو الأمر في يومنا أيضًا.</w:t>
      </w:r>
    </w:p>
    <w:p w14:paraId="190B774C" w14:textId="77777777" w:rsidR="00EC09FA" w:rsidRDefault="00EC09FA" w:rsidP="00EC09FA">
      <w:pPr>
        <w:rPr>
          <w:rtl/>
          <w:lang w:bidi="ar-LB"/>
        </w:rPr>
      </w:pPr>
    </w:p>
    <w:p w14:paraId="729CAA90" w14:textId="77777777" w:rsidR="00EC09FA" w:rsidRDefault="00EC09FA" w:rsidP="00EC09FA">
      <w:pPr>
        <w:rPr>
          <w:rtl/>
          <w:lang w:bidi="ar-LB"/>
        </w:rPr>
      </w:pPr>
    </w:p>
    <w:p w14:paraId="142083CE" w14:textId="77777777" w:rsidR="00EC09FA" w:rsidRDefault="00EC09FA" w:rsidP="00EC09FA">
      <w:pPr>
        <w:rPr>
          <w:rFonts w:hint="cs"/>
          <w:lang w:bidi="ar-LB"/>
        </w:rPr>
      </w:pPr>
    </w:p>
    <w:sectPr w:rsidR="00EC09FA" w:rsidSect="00331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84B13"/>
    <w:multiLevelType w:val="hybridMultilevel"/>
    <w:tmpl w:val="F4864D7A"/>
    <w:lvl w:ilvl="0" w:tplc="5EC4DCB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40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BE"/>
    <w:rsid w:val="00051645"/>
    <w:rsid w:val="000B60A6"/>
    <w:rsid w:val="001325BA"/>
    <w:rsid w:val="003312B6"/>
    <w:rsid w:val="005C7D3F"/>
    <w:rsid w:val="0065628F"/>
    <w:rsid w:val="007743F7"/>
    <w:rsid w:val="00EB39BE"/>
    <w:rsid w:val="00EC09FA"/>
    <w:rsid w:val="00F7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A8D9"/>
  <w15:chartTrackingRefBased/>
  <w15:docId w15:val="{73E394F2-41E9-4D19-B4A5-88B9BD54F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kkal Majalla" w:eastAsiaTheme="minorHAnsi" w:hAnsi="Sakkal Majalla" w:cs="Sakkal Majalla"/>
        <w:sz w:val="28"/>
        <w:szCs w:val="28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9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9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9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9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9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9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9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9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9B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9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9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9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9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9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9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39B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B3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9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43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3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belstudium.de/articles/2669/vertrauen-angesichts-des-tode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Slaieh</dc:creator>
  <cp:keywords/>
  <dc:description/>
  <cp:lastModifiedBy>Osama Slaieh</cp:lastModifiedBy>
  <cp:revision>1</cp:revision>
  <dcterms:created xsi:type="dcterms:W3CDTF">2024-03-10T05:23:00Z</dcterms:created>
  <dcterms:modified xsi:type="dcterms:W3CDTF">2024-03-10T06:20:00Z</dcterms:modified>
</cp:coreProperties>
</file>