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E2EFD9" w:themeColor="accent6" w:themeTint="33"/>
  <w:body>
    <w:p w14:paraId="5D38F06D" w14:textId="3B2E8042" w:rsidR="00614739" w:rsidRPr="00806503" w:rsidRDefault="00CD4D51" w:rsidP="00806503">
      <w:pPr>
        <w:bidi/>
        <w:jc w:val="center"/>
        <w:rPr>
          <w:b/>
          <w:bCs/>
          <w:sz w:val="48"/>
          <w:szCs w:val="48"/>
          <w:rtl/>
          <w:lang w:bidi="ar-EG"/>
        </w:rPr>
      </w:pPr>
      <w:hyperlink r:id="rId5" w:history="1">
        <w:r w:rsidRPr="00806503">
          <w:rPr>
            <w:rStyle w:val="Hyperlink"/>
            <w:rFonts w:hint="cs"/>
            <w:b/>
            <w:bCs/>
            <w:sz w:val="48"/>
            <w:szCs w:val="48"/>
            <w:rtl/>
            <w:lang w:bidi="ar-EG"/>
          </w:rPr>
          <w:t>سر التقوى</w:t>
        </w:r>
      </w:hyperlink>
    </w:p>
    <w:p w14:paraId="5D5F04FE" w14:textId="3518A02B" w:rsidR="00CD4D51" w:rsidRPr="00806503" w:rsidRDefault="00CD4D51" w:rsidP="00CD4D51">
      <w:pPr>
        <w:bidi/>
        <w:jc w:val="both"/>
        <w:rPr>
          <w:b/>
          <w:bCs/>
          <w:rtl/>
          <w:lang w:bidi="ar-EG"/>
        </w:rPr>
      </w:pPr>
      <w:r w:rsidRPr="00806503">
        <w:rPr>
          <w:b/>
          <w:bCs/>
          <w:lang w:bidi="ar-EG"/>
        </w:rPr>
        <w:t>John Nelson Darby</w:t>
      </w:r>
    </w:p>
    <w:p w14:paraId="0CC55AD4" w14:textId="59DB73B4" w:rsidR="00CD4D51" w:rsidRPr="00806503" w:rsidRDefault="00CD4D51" w:rsidP="00CD4D51">
      <w:pPr>
        <w:bidi/>
        <w:jc w:val="both"/>
        <w:rPr>
          <w:b/>
          <w:bCs/>
          <w:color w:val="FF0000"/>
          <w:sz w:val="32"/>
          <w:szCs w:val="32"/>
          <w:rtl/>
          <w:lang w:bidi="ar-EG"/>
        </w:rPr>
      </w:pPr>
      <w:r w:rsidRPr="00806503">
        <w:rPr>
          <w:rFonts w:hint="cs"/>
          <w:b/>
          <w:bCs/>
          <w:color w:val="FF0000"/>
          <w:sz w:val="32"/>
          <w:szCs w:val="32"/>
          <w:rtl/>
          <w:lang w:bidi="ar-EG"/>
        </w:rPr>
        <w:t>1. تيموثاوس 3: 16</w:t>
      </w:r>
    </w:p>
    <w:p w14:paraId="1F8200F6" w14:textId="7252E712" w:rsidR="00CD4D51" w:rsidRPr="00806503" w:rsidRDefault="00CD4D51" w:rsidP="00CD4D51">
      <w:pPr>
        <w:bidi/>
        <w:jc w:val="both"/>
        <w:rPr>
          <w:sz w:val="48"/>
          <w:szCs w:val="48"/>
          <w:rtl/>
          <w:lang w:bidi="ar-EG"/>
        </w:rPr>
      </w:pPr>
      <w:r w:rsidRPr="00806503">
        <w:rPr>
          <w:rFonts w:hint="cs"/>
          <w:sz w:val="48"/>
          <w:szCs w:val="48"/>
          <w:rtl/>
          <w:lang w:bidi="ar-EG"/>
        </w:rPr>
        <w:t>في رسالة تيموثاوس الأولى نجد موضعًا كتابيًا ملفتًا للنظر، كثيرًا ما نتغاضى عن قوته. لقد أراد الرسول أن يعلم تيموثاوس، كيف يجب أن يتصرف في بيت الله. ومن ثم عرض القوة التي تنشئ كل تقوى حقيقية: "</w:t>
      </w:r>
      <w:r w:rsidRPr="00806503">
        <w:rPr>
          <w:sz w:val="48"/>
          <w:szCs w:val="48"/>
          <w:rtl/>
          <w:lang w:bidi="ar-EG"/>
        </w:rPr>
        <w:t>وَبِالإِجْمَاعِ عَظِيمٌ هُوَ سِرُّ التَّقْوَى: اللهُ ظَهَرَ فِي الْجَسَدِ، تَبَرَّرَ فِي الرُّوحِ، تَرَاءَى لِمَلاَئِكَةٍ، كُرِزَ بِهِ بَيْنَ الأُمَمِ، أُومِنَ بِهِ فِي الْعَالَمِ، رُفِعَ فِي الْمَجْدِ.</w:t>
      </w:r>
      <w:r w:rsidRPr="00806503">
        <w:rPr>
          <w:rFonts w:hint="cs"/>
          <w:sz w:val="48"/>
          <w:szCs w:val="48"/>
          <w:rtl/>
          <w:lang w:bidi="ar-EG"/>
        </w:rPr>
        <w:t>"</w:t>
      </w:r>
    </w:p>
    <w:p w14:paraId="7177835D" w14:textId="1D6E5914" w:rsidR="00CD4D51" w:rsidRPr="00806503" w:rsidRDefault="00CD4D51" w:rsidP="00CD4D51">
      <w:pPr>
        <w:bidi/>
        <w:jc w:val="both"/>
        <w:rPr>
          <w:sz w:val="48"/>
          <w:szCs w:val="48"/>
          <w:rtl/>
          <w:lang w:bidi="ar-EG"/>
        </w:rPr>
      </w:pPr>
      <w:r w:rsidRPr="00806503">
        <w:rPr>
          <w:rFonts w:hint="cs"/>
          <w:sz w:val="48"/>
          <w:szCs w:val="48"/>
          <w:rtl/>
          <w:lang w:bidi="ar-EG"/>
        </w:rPr>
        <w:t xml:space="preserve">كثيرًا ما يُقتبس هذا العدد أو يُشرح، كما لو كان يتكلم عن سر الألوهية، أو عن سر شخص المسيح. ولكن الأمر هو عن سر التقوى أو السر الذي به تنشأ كل تقوى حقيقية </w:t>
      </w:r>
      <w:r w:rsidRPr="00806503">
        <w:rPr>
          <w:sz w:val="48"/>
          <w:szCs w:val="48"/>
          <w:rtl/>
          <w:lang w:bidi="ar-EG"/>
        </w:rPr>
        <w:t>–</w:t>
      </w:r>
      <w:r w:rsidRPr="00806503">
        <w:rPr>
          <w:rFonts w:hint="cs"/>
          <w:sz w:val="48"/>
          <w:szCs w:val="48"/>
          <w:rtl/>
          <w:lang w:bidi="ar-EG"/>
        </w:rPr>
        <w:t xml:space="preserve"> المصدر الإلهي لكل ما يمكن أن ندعوه تقوى في الإنسان.</w:t>
      </w:r>
    </w:p>
    <w:p w14:paraId="2D5C2604" w14:textId="67E9156B" w:rsidR="00CD4D51" w:rsidRPr="00806503" w:rsidRDefault="00CD4D51" w:rsidP="00CD4D51">
      <w:pPr>
        <w:bidi/>
        <w:jc w:val="both"/>
        <w:rPr>
          <w:rFonts w:hint="cs"/>
          <w:sz w:val="48"/>
          <w:szCs w:val="48"/>
          <w:rtl/>
          <w:lang w:bidi="ar-EG"/>
        </w:rPr>
      </w:pPr>
      <w:r w:rsidRPr="00806503">
        <w:rPr>
          <w:rFonts w:hint="cs"/>
          <w:sz w:val="48"/>
          <w:szCs w:val="48"/>
          <w:rtl/>
          <w:lang w:bidi="ar-EG"/>
        </w:rPr>
        <w:t>"</w:t>
      </w:r>
      <w:r w:rsidR="001C012F" w:rsidRPr="00806503">
        <w:rPr>
          <w:sz w:val="48"/>
          <w:szCs w:val="48"/>
          <w:rtl/>
          <w:lang w:bidi="ar-EG"/>
        </w:rPr>
        <w:t xml:space="preserve"> </w:t>
      </w:r>
      <w:r w:rsidR="001C012F" w:rsidRPr="00806503">
        <w:rPr>
          <w:sz w:val="48"/>
          <w:szCs w:val="48"/>
          <w:rtl/>
          <w:lang w:bidi="ar-EG"/>
        </w:rPr>
        <w:t>اللهُ</w:t>
      </w:r>
      <w:r w:rsidR="001C012F" w:rsidRPr="00806503">
        <w:rPr>
          <w:rFonts w:hint="cs"/>
          <w:sz w:val="48"/>
          <w:szCs w:val="48"/>
          <w:rtl/>
          <w:lang w:bidi="ar-EG"/>
        </w:rPr>
        <w:t xml:space="preserve"> هو الذي</w:t>
      </w:r>
      <w:r w:rsidR="001C012F" w:rsidRPr="00806503">
        <w:rPr>
          <w:sz w:val="48"/>
          <w:szCs w:val="48"/>
          <w:rtl/>
          <w:lang w:bidi="ar-EG"/>
        </w:rPr>
        <w:t xml:space="preserve"> ظَهَرَ فِي الْجَسَدِ</w:t>
      </w:r>
      <w:r w:rsidR="001C012F" w:rsidRPr="00806503">
        <w:rPr>
          <w:rFonts w:hint="cs"/>
          <w:sz w:val="48"/>
          <w:szCs w:val="48"/>
          <w:rtl/>
          <w:lang w:bidi="ar-EG"/>
        </w:rPr>
        <w:t>" هو المثال والقوة للتقوى، قياسها ومصدرها. التقوى اليوم لا تنشأ بأحكام إلهية كما هو تحت الناموس؛ كما وأنها ليست النتيجة في روح العبودية فيمن (مهما بلغت مخافتهم لله) يعرفون الله فقط كمَن يُسجد له وهو وراء الحجاب. التقوى هي نتيجة معرفة تأنس، موت، قيامة وصعود الرب يسوع المسيح إلى السماء. إن مصدرها وطابعها مستمد من معرفة شخصه، "</w:t>
      </w:r>
      <w:r w:rsidR="001C012F" w:rsidRPr="00806503">
        <w:rPr>
          <w:sz w:val="48"/>
          <w:szCs w:val="48"/>
          <w:rtl/>
          <w:lang w:bidi="ar-EG"/>
        </w:rPr>
        <w:t xml:space="preserve"> </w:t>
      </w:r>
      <w:r w:rsidR="001C012F" w:rsidRPr="00806503">
        <w:rPr>
          <w:sz w:val="48"/>
          <w:szCs w:val="48"/>
          <w:rtl/>
          <w:lang w:bidi="ar-EG"/>
        </w:rPr>
        <w:t>تَبَرَّرَ فِي الرُّوحِ</w:t>
      </w:r>
      <w:r w:rsidR="001C012F" w:rsidRPr="00806503">
        <w:rPr>
          <w:rFonts w:hint="cs"/>
          <w:sz w:val="48"/>
          <w:szCs w:val="48"/>
          <w:rtl/>
          <w:lang w:bidi="ar-EG"/>
        </w:rPr>
        <w:t xml:space="preserve">"، من موضوع تأمل الملائكة ومضمون الشهادة والإيمان في العالم ومركزه الحاضر كمَن </w:t>
      </w:r>
      <w:r w:rsidR="001C012F" w:rsidRPr="00806503">
        <w:rPr>
          <w:sz w:val="48"/>
          <w:szCs w:val="48"/>
          <w:rtl/>
          <w:lang w:bidi="ar-EG"/>
        </w:rPr>
        <w:t>رُفِعَ فِي الْمَجْدِ</w:t>
      </w:r>
      <w:r w:rsidR="001C012F" w:rsidRPr="00806503">
        <w:rPr>
          <w:rFonts w:hint="cs"/>
          <w:sz w:val="48"/>
          <w:szCs w:val="48"/>
          <w:rtl/>
          <w:lang w:bidi="ar-EG"/>
        </w:rPr>
        <w:t xml:space="preserve">. هكذا يُعرف الله وفيما يثبت المرء تكون التقوى </w:t>
      </w:r>
      <w:r w:rsidR="001C012F" w:rsidRPr="00806503">
        <w:rPr>
          <w:rFonts w:hint="cs"/>
          <w:sz w:val="48"/>
          <w:szCs w:val="48"/>
          <w:rtl/>
          <w:lang w:bidi="ar-EG"/>
        </w:rPr>
        <w:t>هي</w:t>
      </w:r>
      <w:r w:rsidR="001C012F" w:rsidRPr="00806503">
        <w:rPr>
          <w:rFonts w:hint="cs"/>
          <w:sz w:val="48"/>
          <w:szCs w:val="48"/>
          <w:rtl/>
          <w:lang w:bidi="ar-EG"/>
        </w:rPr>
        <w:t xml:space="preserve"> </w:t>
      </w:r>
      <w:r w:rsidR="001C012F" w:rsidRPr="00806503">
        <w:rPr>
          <w:rFonts w:hint="cs"/>
          <w:sz w:val="48"/>
          <w:szCs w:val="48"/>
          <w:rtl/>
          <w:lang w:bidi="ar-EG"/>
        </w:rPr>
        <w:t>النتيجة</w:t>
      </w:r>
      <w:r w:rsidR="001C012F" w:rsidRPr="00806503">
        <w:rPr>
          <w:rFonts w:hint="cs"/>
          <w:sz w:val="48"/>
          <w:szCs w:val="48"/>
          <w:rtl/>
          <w:lang w:bidi="ar-EG"/>
        </w:rPr>
        <w:t>.</w:t>
      </w:r>
    </w:p>
    <w:sectPr w:rsidR="00CD4D51" w:rsidRPr="00806503" w:rsidSect="00806503">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AD2B91"/>
    <w:multiLevelType w:val="hybridMultilevel"/>
    <w:tmpl w:val="67B2A91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D51"/>
    <w:rsid w:val="001C012F"/>
    <w:rsid w:val="00614739"/>
    <w:rsid w:val="00806503"/>
    <w:rsid w:val="00CD4D5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CB92"/>
  <w15:chartTrackingRefBased/>
  <w15:docId w15:val="{8CB8A7B3-A4DE-4303-9C3C-44C1003A6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4D51"/>
    <w:rPr>
      <w:color w:val="0563C1" w:themeColor="hyperlink"/>
      <w:u w:val="single"/>
    </w:rPr>
  </w:style>
  <w:style w:type="character" w:styleId="UnresolvedMention">
    <w:name w:val="Unresolved Mention"/>
    <w:basedOn w:val="DefaultParagraphFont"/>
    <w:uiPriority w:val="99"/>
    <w:semiHidden/>
    <w:unhideWhenUsed/>
    <w:rsid w:val="00CD4D51"/>
    <w:rPr>
      <w:color w:val="605E5C"/>
      <w:shd w:val="clear" w:color="auto" w:fill="E1DFDD"/>
    </w:rPr>
  </w:style>
  <w:style w:type="paragraph" w:styleId="ListParagraph">
    <w:name w:val="List Paragraph"/>
    <w:basedOn w:val="Normal"/>
    <w:uiPriority w:val="34"/>
    <w:qFormat/>
    <w:rsid w:val="00CD4D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studium.de/articles/3743/das-geheimnis-der-gottseligkeit.html"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cp:revision>
  <cp:lastPrinted>2021-03-27T17:30:00Z</cp:lastPrinted>
  <dcterms:created xsi:type="dcterms:W3CDTF">2021-03-27T17:12:00Z</dcterms:created>
  <dcterms:modified xsi:type="dcterms:W3CDTF">2021-03-27T17:30:00Z</dcterms:modified>
</cp:coreProperties>
</file>