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ADAA6" w14:textId="77772053" w:rsidR="00AF6FE2" w:rsidRDefault="00000000">
      <w:pPr>
        <w:rPr>
          <w:rtl/>
          <w:lang w:bidi="ar-SA"/>
        </w:rPr>
      </w:pPr>
      <w:hyperlink r:id="rId4" w:history="1">
        <w:r w:rsidR="003752EC" w:rsidRPr="003752EC">
          <w:rPr>
            <w:rStyle w:val="Hyperlink"/>
            <w:rtl/>
            <w:lang w:bidi="ar-SA"/>
          </w:rPr>
          <w:t>التأ</w:t>
        </w:r>
        <w:r w:rsidR="003752EC" w:rsidRPr="003752EC">
          <w:rPr>
            <w:rStyle w:val="Hyperlink"/>
            <w:rtl/>
            <w:lang w:bidi="ar-SA"/>
          </w:rPr>
          <w:t>د</w:t>
        </w:r>
        <w:r w:rsidR="003752EC" w:rsidRPr="003752EC">
          <w:rPr>
            <w:rStyle w:val="Hyperlink"/>
            <w:rtl/>
            <w:lang w:bidi="ar-SA"/>
          </w:rPr>
          <w:t>يب</w:t>
        </w:r>
      </w:hyperlink>
    </w:p>
    <w:p w14:paraId="3A23E6A5" w14:textId="558FE1C5" w:rsidR="003752EC" w:rsidRDefault="003752EC" w:rsidP="003752EC">
      <w:pPr>
        <w:bidi w:val="0"/>
        <w:rPr>
          <w:lang w:bidi="ar-SA"/>
        </w:rPr>
      </w:pPr>
      <w:r w:rsidRPr="003752EC">
        <w:rPr>
          <w:lang w:bidi="ar-SA"/>
        </w:rPr>
        <w:t>John Nelson Darby</w:t>
      </w:r>
    </w:p>
    <w:p w14:paraId="4A6D60AD" w14:textId="428AD4C9" w:rsidR="003752EC" w:rsidRDefault="003752EC">
      <w:pPr>
        <w:rPr>
          <w:rtl/>
          <w:lang w:bidi="ar-SA"/>
        </w:rPr>
      </w:pPr>
      <w:r>
        <w:rPr>
          <w:rFonts w:hint="cs"/>
          <w:rtl/>
          <w:lang w:bidi="ar-SA"/>
        </w:rPr>
        <w:t>الموقف الباطني في ممارسة التأديب</w:t>
      </w:r>
    </w:p>
    <w:p w14:paraId="43AB5AC4" w14:textId="7AD925F2" w:rsidR="003752EC" w:rsidRDefault="003752EC">
      <w:pPr>
        <w:rPr>
          <w:rtl/>
          <w:lang w:bidi="ar-SA"/>
        </w:rPr>
      </w:pPr>
      <w:r>
        <w:rPr>
          <w:rFonts w:hint="cs"/>
          <w:rtl/>
          <w:lang w:bidi="ar-SA"/>
        </w:rPr>
        <w:t xml:space="preserve">قبل أن نتكلم عن ممارسة التأديب </w:t>
      </w:r>
      <w:r>
        <w:rPr>
          <w:rtl/>
          <w:lang w:bidi="ar-SA"/>
        </w:rPr>
        <w:t>–</w:t>
      </w:r>
      <w:r>
        <w:rPr>
          <w:rFonts w:hint="cs"/>
          <w:rtl/>
          <w:lang w:bidi="ar-SA"/>
        </w:rPr>
        <w:t xml:space="preserve"> </w:t>
      </w:r>
      <w:r w:rsidR="000A1DE3">
        <w:rPr>
          <w:rFonts w:hint="cs"/>
          <w:rtl/>
          <w:lang w:bidi="ar-SA"/>
        </w:rPr>
        <w:t>وهذا</w:t>
      </w:r>
      <w:r>
        <w:rPr>
          <w:rFonts w:hint="cs"/>
          <w:rtl/>
          <w:lang w:bidi="ar-SA"/>
        </w:rPr>
        <w:t xml:space="preserve"> لأمر خطير بصورة غير عادية -،حسنًا إن تذكرنا من نكون نحن في حد أنفسنا. عندما أعيد النظر في أني خاطئ بائس نال خلاصه فقط برحمة عظيمة وفقط في يسوع المسيح وحده</w:t>
      </w:r>
      <w:r w:rsidR="000A1DE3">
        <w:rPr>
          <w:rFonts w:hint="cs"/>
          <w:rtl/>
          <w:lang w:bidi="ar-SA"/>
        </w:rPr>
        <w:t xml:space="preserve"> أنا</w:t>
      </w:r>
      <w:r w:rsidR="00674ACF">
        <w:rPr>
          <w:rFonts w:hint="cs"/>
          <w:rtl/>
          <w:lang w:bidi="ar-SA"/>
        </w:rPr>
        <w:t xml:space="preserve"> مقبول</w:t>
      </w:r>
      <w:r>
        <w:rPr>
          <w:rFonts w:hint="cs"/>
          <w:rtl/>
          <w:lang w:bidi="ar-SA"/>
        </w:rPr>
        <w:t xml:space="preserve"> وأنا قادر على الوقوف، والذي أنا في ذاتي </w:t>
      </w:r>
      <w:r w:rsidR="00674ACF">
        <w:rPr>
          <w:rFonts w:hint="cs"/>
          <w:rtl/>
          <w:lang w:bidi="ar-SA"/>
        </w:rPr>
        <w:t>غير مستحق لأي شيء، فمن الواضح أنه لمشروع رهيب بأن يوضع التأديب بين يدي. مَن غير الله قادر على أن يحكم؟ هذا هو أول فكر يطرأ في داخلي.</w:t>
      </w:r>
    </w:p>
    <w:p w14:paraId="330408E8" w14:textId="2268848C" w:rsidR="000F4842" w:rsidRDefault="000F4842">
      <w:pPr>
        <w:rPr>
          <w:rtl/>
          <w:lang w:bidi="ar-SA"/>
        </w:rPr>
      </w:pPr>
      <w:r>
        <w:rPr>
          <w:rFonts w:hint="cs"/>
          <w:rtl/>
          <w:lang w:bidi="ar-SA"/>
        </w:rPr>
        <w:t>فبكوني لا شيء أبدًا، أقف وسط أشخاص غاليين على قلب الرب أتطلع إليهم وعليّ أن أقدّرهم أكثر من نفسي، وذلك بوعيي أنني قابل</w:t>
      </w:r>
      <w:r w:rsidR="000A1DE3">
        <w:rPr>
          <w:rFonts w:hint="cs"/>
          <w:rtl/>
          <w:lang w:bidi="ar-SA"/>
        </w:rPr>
        <w:t xml:space="preserve"> جدًا</w:t>
      </w:r>
      <w:r>
        <w:rPr>
          <w:rFonts w:hint="cs"/>
          <w:rtl/>
          <w:lang w:bidi="ar-SA"/>
        </w:rPr>
        <w:t xml:space="preserve"> بأن أُخطئ</w:t>
      </w:r>
      <w:r w:rsidR="000A1DE3">
        <w:rPr>
          <w:rFonts w:hint="cs"/>
          <w:rtl/>
          <w:lang w:bidi="ar-SA"/>
        </w:rPr>
        <w:t xml:space="preserve"> وبعدم استحقاقي أمام الرب لأمارس </w:t>
      </w:r>
      <w:r w:rsidR="0007040D">
        <w:rPr>
          <w:rFonts w:hint="cs"/>
          <w:rtl/>
          <w:lang w:bidi="ar-SA"/>
        </w:rPr>
        <w:t>ا</w:t>
      </w:r>
      <w:r w:rsidR="000A1DE3">
        <w:rPr>
          <w:rFonts w:hint="cs"/>
          <w:rtl/>
          <w:lang w:bidi="ar-SA"/>
        </w:rPr>
        <w:t xml:space="preserve">لتأديب! </w:t>
      </w:r>
      <w:r w:rsidR="000A1DE3">
        <w:rPr>
          <w:rtl/>
          <w:lang w:bidi="ar-SA"/>
        </w:rPr>
        <w:t>–</w:t>
      </w:r>
      <w:r w:rsidR="000A1DE3">
        <w:rPr>
          <w:rFonts w:hint="cs"/>
          <w:rtl/>
          <w:lang w:bidi="ar-SA"/>
        </w:rPr>
        <w:t xml:space="preserve"> ففي الواقع فهي لوعيي فكرة في غاية الخطورة والجدية. إنها تطرحني أرضًا. ولا شيء يمكنه أن يحررني من هذا الشعور إلا شيء واحد وهو كون المحبة تتقدمني. فإن فعلاً كانت المحبة عاملة، فلن يكون اهتمامها إلا في تحقيق مقاصدها. دعونا ننظر إلى المحبة </w:t>
      </w:r>
      <w:r w:rsidR="00764BB6">
        <w:rPr>
          <w:rFonts w:hint="cs"/>
          <w:rtl/>
          <w:lang w:bidi="ar-SA"/>
        </w:rPr>
        <w:t xml:space="preserve">التي في الرب يسوع، التي فيها واجهَ كل أمر، مهما كان هو الشيء الذي واجهه في الطريق. إن هذا لوحده أنا أعتقد القادر بأن يحرر روحنا بالفعل من الشعور بأننا على خطأ في ممارستنا للتأديب. ولكان الأمر فظيعًا لو أردت بأن أترك موقفي الشخصي هذا في التأديب ولو للحظة واحدة. من المؤكد أنه لا بد وأن يكون الشأن الأساسي في كل تصرف هو العدل، ولكن الذي يُجريه هي المحبة، المحبة في ممارسة عملية لضمان البركة للقداسة لأجل الكنيسة، وإن قد يكون هذا مؤلمًا لها أيضًا. فلا يمكن ولا بأي حال أن يكون هنالك تفوق للجسد (انظر متى 23: 8 </w:t>
      </w:r>
      <w:r w:rsidR="00764BB6">
        <w:rPr>
          <w:rtl/>
          <w:lang w:bidi="ar-SA"/>
        </w:rPr>
        <w:t>–</w:t>
      </w:r>
      <w:r w:rsidR="00764BB6">
        <w:rPr>
          <w:rFonts w:hint="cs"/>
          <w:rtl/>
          <w:lang w:bidi="ar-SA"/>
        </w:rPr>
        <w:t xml:space="preserve"> 11). فنحن لسنا السيد </w:t>
      </w:r>
      <w:r w:rsidR="003F759D">
        <w:rPr>
          <w:rFonts w:hint="cs"/>
          <w:rtl/>
          <w:lang w:bidi="ar-SA"/>
        </w:rPr>
        <w:t xml:space="preserve">لنمارس التأديب. فمع أن المحبة هي التي عليها أن تدفعنا بغيرة واهتمام ساهر للحفاظ على البِرّ ولنهتم ببعضنا البعض، إلا أنه لا يجوز لنا أن ننسى أبدًا، بأن أخونا في الأخير أمره هو مع ربه وسقوطه معه (رومية 14: 4). إلا أن المحبة وحدها التي يجوز لها أن تقود، وخدمة المحبة تكشف عنها. صحيح أننا نرى بأن الرب يسوع كان قد تصرف بشكل مختلف في إحدى المرات، حينما مارس تأديبًا، حينما </w:t>
      </w:r>
      <w:r w:rsidR="0007040D">
        <w:rPr>
          <w:rFonts w:hint="cs"/>
          <w:rtl/>
          <w:lang w:bidi="ar-SA"/>
        </w:rPr>
        <w:t>ص</w:t>
      </w:r>
      <w:r w:rsidR="003F759D">
        <w:rPr>
          <w:rFonts w:hint="cs"/>
          <w:rtl/>
          <w:lang w:bidi="ar-SA"/>
        </w:rPr>
        <w:t>نع سوطًا من حبال مجدولة وطرد</w:t>
      </w:r>
      <w:r w:rsidR="00942729">
        <w:rPr>
          <w:rFonts w:hint="cs"/>
          <w:rtl/>
          <w:lang w:bidi="ar-SA"/>
        </w:rPr>
        <w:t xml:space="preserve"> الذين دنسوا الهيكل (متى 21؛ يوحنا 2)؛ إلا أنه هنا على الأغلب أظهر ذلك الطابع الذي سيمارس فيه القضاء في يوم ما.</w:t>
      </w:r>
    </w:p>
    <w:p w14:paraId="16D06924" w14:textId="30CCC151" w:rsidR="00785557" w:rsidRDefault="00785557">
      <w:pPr>
        <w:rPr>
          <w:rtl/>
          <w:lang w:bidi="ar-SA"/>
        </w:rPr>
      </w:pPr>
      <w:r>
        <w:rPr>
          <w:rFonts w:hint="cs"/>
          <w:rtl/>
          <w:lang w:bidi="ar-SA"/>
        </w:rPr>
        <w:t>مختلف أنواع التأديب</w:t>
      </w:r>
    </w:p>
    <w:p w14:paraId="1EAC85E9" w14:textId="421624CA" w:rsidR="00785557" w:rsidRDefault="00785557">
      <w:pPr>
        <w:rPr>
          <w:rtl/>
          <w:lang w:bidi="ar-SA"/>
        </w:rPr>
      </w:pPr>
      <w:r>
        <w:rPr>
          <w:rFonts w:hint="cs"/>
          <w:rtl/>
          <w:lang w:bidi="ar-SA"/>
        </w:rPr>
        <w:t>هنالك نوعان أو ثلاثة من التأديب، والتي</w:t>
      </w:r>
      <w:r w:rsidR="006E14A7" w:rsidRPr="006E14A7">
        <w:rPr>
          <w:rtl/>
        </w:rPr>
        <w:t xml:space="preserve"> </w:t>
      </w:r>
      <w:r w:rsidR="006E14A7" w:rsidRPr="006E14A7">
        <w:rPr>
          <w:rtl/>
          <w:lang w:bidi="ar-SA"/>
        </w:rPr>
        <w:t>عادة</w:t>
      </w:r>
      <w:r>
        <w:rPr>
          <w:rFonts w:hint="cs"/>
          <w:rtl/>
          <w:lang w:bidi="ar-SA"/>
        </w:rPr>
        <w:t xml:space="preserve"> يُختلط فيما بينها بين المسيحيين، إلا أنها تري </w:t>
      </w:r>
      <w:r>
        <w:rPr>
          <w:rtl/>
          <w:lang w:bidi="ar-SA"/>
        </w:rPr>
        <w:t>–</w:t>
      </w:r>
      <w:r>
        <w:rPr>
          <w:rFonts w:hint="cs"/>
          <w:rtl/>
          <w:lang w:bidi="ar-SA"/>
        </w:rPr>
        <w:t xml:space="preserve"> ولنا في ذلك تعزية </w:t>
      </w:r>
      <w:r>
        <w:rPr>
          <w:rtl/>
          <w:lang w:bidi="ar-SA"/>
        </w:rPr>
        <w:t>–</w:t>
      </w:r>
      <w:r>
        <w:rPr>
          <w:rFonts w:hint="cs"/>
          <w:rtl/>
          <w:lang w:bidi="ar-SA"/>
        </w:rPr>
        <w:t xml:space="preserve"> صلة الفرد الباطنية بكل الجسد وبالله. فهنا وأكثر من أي مكان آخر هنالك معضلات أكبر في مسألة التأديب. والسبب في ذلك هي عادات معينة في حياتنا معًا بصورة عامة، والتي أدّت بأن نعتبره مجرد كإجراء نحسم فيه و</w:t>
      </w:r>
      <w:r w:rsidR="005A0004">
        <w:rPr>
          <w:rFonts w:hint="cs"/>
          <w:rtl/>
          <w:lang w:bidi="ar-SA"/>
        </w:rPr>
        <w:t>نحكم. فتقرر مجموعة من الأشخاص معًا، ويُتخذ حُكمًا بما يوافق الحاجة حتى يُمنح للهيئة المجتمعة بمحض إرادتها مهابة وثباتًا. ولأن الناس عليها أن تتأكد، وضعت كل شركة لنفسها قواعد للتصرف. غير أن هذا المبدأ هو بعيد كل البُعد عن الحق كبعد العالم عن الكنيسة أو النور عن الظلمة. فأي مبدأ يعتمد من بعد القرار الجماعي على الاختيارية</w:t>
      </w:r>
      <w:r w:rsidR="00891D93">
        <w:rPr>
          <w:rFonts w:hint="cs"/>
          <w:rtl/>
          <w:lang w:bidi="ar-SA"/>
        </w:rPr>
        <w:t xml:space="preserve"> </w:t>
      </w:r>
      <w:r w:rsidR="0007040D">
        <w:rPr>
          <w:rFonts w:hint="cs"/>
          <w:rtl/>
        </w:rPr>
        <w:t xml:space="preserve">وأن </w:t>
      </w:r>
      <w:r w:rsidR="006E14A7">
        <w:rPr>
          <w:rFonts w:hint="cs"/>
          <w:rtl/>
        </w:rPr>
        <w:t>اللوائح</w:t>
      </w:r>
      <w:r w:rsidR="0007040D">
        <w:rPr>
          <w:rFonts w:hint="cs"/>
          <w:rtl/>
        </w:rPr>
        <w:t xml:space="preserve"> الشخصية هي التي تعمل على استمرارية الشركة لا يمكن مطلقًا الاعتراف به. فإرادة الإنسان هي تحديدًا التي تُدخل الفساد المستديم، حتى وإن تم ملائمتها، إلا أن المبدأ المدرك هنا يبقى بجملته خاطئ. </w:t>
      </w:r>
      <w:r w:rsidR="009320D8">
        <w:rPr>
          <w:rFonts w:hint="cs"/>
          <w:rtl/>
        </w:rPr>
        <w:t xml:space="preserve">ففي الأمور المختصة بالله لا يوجد شيء كتعامل اختياري من الجانب الإنساني. فكل تعامل يحدث تحت عهدة المسيح وبالروح. ففي لحظة تدخل إرادة الإنسان نكون بذلك نخدم إبليس وليس المسيح. وقد خرج من هذا الأمر كم كبير من المشاكل العملية لا يشعر به مَن هم خارج إنجلترا بهذه الصورة. ولكن إن تخيلت مرافعة قضائية تُجرى بقوانين أو </w:t>
      </w:r>
      <w:r w:rsidR="009320D8">
        <w:rPr>
          <w:rFonts w:hint="cs"/>
          <w:rtl/>
          <w:lang w:bidi="ar-SA"/>
        </w:rPr>
        <w:t>لوائح فإني بذلك أكون قد تركت بنفسي أرضية النعمة تمامًا وشوّهت كل شيء.</w:t>
      </w:r>
    </w:p>
    <w:p w14:paraId="7AAB8838" w14:textId="4F3FFB58" w:rsidR="006E14A7" w:rsidRDefault="006E14A7">
      <w:pPr>
        <w:rPr>
          <w:rtl/>
          <w:lang w:bidi="ar-SA"/>
        </w:rPr>
      </w:pPr>
      <w:r>
        <w:rPr>
          <w:rFonts w:hint="cs"/>
          <w:rtl/>
          <w:lang w:bidi="ar-SA"/>
        </w:rPr>
        <w:t>خطية ضد أخٍ</w:t>
      </w:r>
    </w:p>
    <w:p w14:paraId="0EC9891C" w14:textId="21DF68FB" w:rsidR="006E14A7" w:rsidRDefault="006E14A7">
      <w:pPr>
        <w:rPr>
          <w:rtl/>
          <w:lang w:bidi="ar-SA"/>
        </w:rPr>
      </w:pPr>
      <w:r>
        <w:rPr>
          <w:rFonts w:hint="cs"/>
          <w:rtl/>
          <w:lang w:bidi="ar-SA"/>
        </w:rPr>
        <w:t xml:space="preserve">إن التعليم المقدّم في متى 18: 15 </w:t>
      </w:r>
      <w:r>
        <w:rPr>
          <w:rtl/>
          <w:lang w:bidi="ar-SA"/>
        </w:rPr>
        <w:t>–</w:t>
      </w:r>
      <w:r>
        <w:rPr>
          <w:rFonts w:hint="cs"/>
          <w:rtl/>
          <w:lang w:bidi="ar-SA"/>
        </w:rPr>
        <w:t xml:space="preserve"> 17 يبدو أنه لا يطابق</w:t>
      </w:r>
      <w:r w:rsidR="003B2A4C">
        <w:rPr>
          <w:rFonts w:hint="cs"/>
          <w:rtl/>
          <w:lang w:bidi="ar-SA"/>
        </w:rPr>
        <w:t xml:space="preserve"> مطلقًا موضوعنا، مع أنه كثيرًا ما يُذكر. فهناك الكلام هو عن أخ ظُلم؛ ولكن إن كان الحديث هو عن الفاعل، فلن يكون الكلام أبدًا بأن على الكنيسة عزله، وإنما: "</w:t>
      </w:r>
      <w:r w:rsidR="003B2A4C" w:rsidRPr="003B2A4C">
        <w:rPr>
          <w:rtl/>
        </w:rPr>
        <w:t xml:space="preserve"> </w:t>
      </w:r>
      <w:r w:rsidR="003B2A4C" w:rsidRPr="003B2A4C">
        <w:rPr>
          <w:rtl/>
          <w:lang w:bidi="ar-SA"/>
        </w:rPr>
        <w:t>فَلْيَكُنْ عِنْدَكَ كَالْوَثَنِيِّ وَالْعَشَّارِ</w:t>
      </w:r>
      <w:r w:rsidR="003B2A4C">
        <w:rPr>
          <w:rFonts w:hint="cs"/>
          <w:rtl/>
          <w:lang w:bidi="ar-SA"/>
        </w:rPr>
        <w:t>" وقد يحدث أن الكنيسة عليها أن تقوم بذلك لاحقًا، ولكن الأمر ليس عن ذلك وحسب. فبكل بساطة مكتوب: "</w:t>
      </w:r>
      <w:r w:rsidR="003B2A4C" w:rsidRPr="003B2A4C">
        <w:rPr>
          <w:rtl/>
        </w:rPr>
        <w:t xml:space="preserve"> </w:t>
      </w:r>
      <w:r w:rsidR="003B2A4C" w:rsidRPr="003B2A4C">
        <w:rPr>
          <w:rtl/>
          <w:lang w:bidi="ar-SA"/>
        </w:rPr>
        <w:t>فَلْيَكُنْ عِنْدَكَ</w:t>
      </w:r>
      <w:r w:rsidR="003B2A4C">
        <w:rPr>
          <w:rFonts w:hint="cs"/>
          <w:rtl/>
          <w:lang w:bidi="ar-SA"/>
        </w:rPr>
        <w:t xml:space="preserve">" </w:t>
      </w:r>
      <w:r w:rsidR="003B2A4C">
        <w:rPr>
          <w:rtl/>
          <w:lang w:bidi="ar-SA"/>
        </w:rPr>
        <w:t>–</w:t>
      </w:r>
      <w:r w:rsidR="003B2A4C">
        <w:rPr>
          <w:rFonts w:hint="cs"/>
          <w:rtl/>
          <w:lang w:bidi="ar-SA"/>
        </w:rPr>
        <w:t xml:space="preserve"> لم يعُد لي أي دخل فيه. فهنا لدينا الحالة بأن فردًا ظُلم كما قد يحدث أيضًا في ذبيحة الاثم، حيث يقول: "</w:t>
      </w:r>
      <w:r w:rsidR="003B2A4C" w:rsidRPr="003B2A4C">
        <w:rPr>
          <w:rtl/>
        </w:rPr>
        <w:t xml:space="preserve"> </w:t>
      </w:r>
      <w:r w:rsidR="003B2A4C" w:rsidRPr="003B2A4C">
        <w:rPr>
          <w:rtl/>
          <w:lang w:bidi="ar-SA"/>
        </w:rPr>
        <w:t>إِذَا أَخْطَأَ أَحَدٌ وَخَانَ خِيَانَةً بِالرَّبِّ، وَجَحَدَ صَاحِبَهُ وَدِيعَةً</w:t>
      </w:r>
      <w:r w:rsidR="003B2A4C">
        <w:rPr>
          <w:rFonts w:hint="cs"/>
          <w:rtl/>
          <w:lang w:bidi="ar-SA"/>
        </w:rPr>
        <w:t>" (كل عمل ضد وصايا الله وعمل لم يكن يجب أن يُعمل، كان خطية و</w:t>
      </w:r>
      <w:r w:rsidR="002444E7">
        <w:rPr>
          <w:rFonts w:hint="cs"/>
          <w:rtl/>
          <w:lang w:bidi="ar-SA"/>
        </w:rPr>
        <w:t>تطلب ذبيحة خطية غير أنه كانت هنالك آثام ضد أشخاص، شر فُعل بجار جراء حجب ثقة أو ما شابه. وعلى ذلك كانت هنالك ذبيحة إثم. انظر الآيات السبعة الأولى من سفر اللاويين 6)، إلا أن عدم محدودية النعمة في الغفران تبقى قائمة وحتى "</w:t>
      </w:r>
      <w:r w:rsidR="002444E7" w:rsidRPr="002444E7">
        <w:rPr>
          <w:rtl/>
        </w:rPr>
        <w:t xml:space="preserve"> </w:t>
      </w:r>
      <w:r w:rsidR="002444E7" w:rsidRPr="002444E7">
        <w:rPr>
          <w:rtl/>
          <w:lang w:bidi="ar-SA"/>
        </w:rPr>
        <w:t>إِلَى سَبْعِينَ مَرَّةً سَبْعَ مَرَّاتٍ</w:t>
      </w:r>
      <w:r w:rsidR="002444E7" w:rsidRPr="002444E7">
        <w:rPr>
          <w:rFonts w:hint="cs"/>
          <w:rtl/>
          <w:lang w:bidi="ar-SA"/>
        </w:rPr>
        <w:t xml:space="preserve"> </w:t>
      </w:r>
      <w:r w:rsidR="002444E7">
        <w:rPr>
          <w:rFonts w:hint="cs"/>
          <w:rtl/>
          <w:lang w:bidi="ar-SA"/>
        </w:rPr>
        <w:t>"، ولكن "</w:t>
      </w:r>
      <w:r w:rsidR="002444E7" w:rsidRPr="002444E7">
        <w:rPr>
          <w:rtl/>
        </w:rPr>
        <w:t xml:space="preserve"> </w:t>
      </w:r>
      <w:r w:rsidR="002444E7" w:rsidRPr="002444E7">
        <w:rPr>
          <w:rtl/>
          <w:lang w:bidi="ar-SA"/>
        </w:rPr>
        <w:t>إِنْذَارًا تُنْذِرُ صَاحِبَكَ، وَلاَ تَحْمِلْ لأَجْلِهِ خَطِيَّةً.</w:t>
      </w:r>
      <w:r w:rsidR="002444E7">
        <w:rPr>
          <w:rFonts w:hint="cs"/>
          <w:rtl/>
          <w:lang w:bidi="ar-SA"/>
        </w:rPr>
        <w:t xml:space="preserve"> (لكي لا تحمل ذنبًا بسببه)" أو، كما هو مكتوب في حاشية سفر اللاويين 19: 17: "ولا تتحمل خطية هي عليه".</w:t>
      </w:r>
    </w:p>
    <w:p w14:paraId="165EFB6F" w14:textId="3CE1D2D8" w:rsidR="002444E7" w:rsidRDefault="002444E7">
      <w:pPr>
        <w:rPr>
          <w:rFonts w:hint="cs"/>
          <w:rtl/>
          <w:lang w:bidi="ar-SA"/>
        </w:rPr>
      </w:pPr>
      <w:r>
        <w:rPr>
          <w:rFonts w:hint="cs"/>
          <w:rtl/>
          <w:lang w:bidi="ar-SA"/>
        </w:rPr>
        <w:t>إن ظلمني أحد ماذا أعمل؟ فإني لا أذهب نحو تأديب الآب ولا إلى تأديب الابن</w:t>
      </w:r>
      <w:r w:rsidR="00BF35C8">
        <w:rPr>
          <w:rFonts w:hint="cs"/>
          <w:rtl/>
          <w:lang w:bidi="ar-SA"/>
        </w:rPr>
        <w:t xml:space="preserve"> على بيته، وإنما أتعامل معه بالمحبة في علاقة أخوية. فأذهب إليه وأقول: "أنت ظلمتني". فهذا التقويم في البِرّ هو أول أمر. ففي هذه المحاولة أترك النعمة فقط لتعمل عملها. ومتى ما حدث ذلك ولم يستمع لي، فإني آخذ معي واحدًا آخر أو اثنان حتى يؤكّد على الأمر "</w:t>
      </w:r>
      <w:r w:rsidR="00BF35C8" w:rsidRPr="00BF35C8">
        <w:rPr>
          <w:rtl/>
        </w:rPr>
        <w:t xml:space="preserve"> </w:t>
      </w:r>
      <w:r w:rsidR="00BF35C8" w:rsidRPr="00BF35C8">
        <w:rPr>
          <w:rtl/>
          <w:lang w:bidi="ar-SA"/>
        </w:rPr>
        <w:t>عَلَى فَمِ شَاهِدَيْنِ أَوْ ثَلاَثَةٍ.</w:t>
      </w:r>
      <w:r w:rsidR="00BF35C8">
        <w:rPr>
          <w:rFonts w:hint="cs"/>
          <w:rtl/>
          <w:lang w:bidi="ar-SA"/>
        </w:rPr>
        <w:t xml:space="preserve">". وإن أخفقت هذه المحاولة أيضًا ، فإني أخبر به لكل الكنيسة. إن امتنع الاستماع للكنيسة فليكن لك كالـ ..." إن الذي يوصف هنا هو تسلسل تصرف الفرد، وينتج منه العلاقة الشخصية بينها. </w:t>
      </w:r>
      <w:hyperlink r:id="rId5" w:history="1">
        <w:r w:rsidR="00BF35C8" w:rsidRPr="00BF35C8">
          <w:rPr>
            <w:rStyle w:val="Hyperlink"/>
            <w:rFonts w:hint="cs"/>
            <w:rtl/>
            <w:lang w:bidi="ar-SA"/>
          </w:rPr>
          <w:t>6</w:t>
        </w:r>
      </w:hyperlink>
    </w:p>
    <w:sectPr w:rsidR="002444E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6E0"/>
    <w:rsid w:val="0007040D"/>
    <w:rsid w:val="000A1DE3"/>
    <w:rsid w:val="000F4842"/>
    <w:rsid w:val="002444E7"/>
    <w:rsid w:val="003752EC"/>
    <w:rsid w:val="003B2A4C"/>
    <w:rsid w:val="003F759D"/>
    <w:rsid w:val="005A0004"/>
    <w:rsid w:val="005E7AE7"/>
    <w:rsid w:val="00625121"/>
    <w:rsid w:val="00674ACF"/>
    <w:rsid w:val="006E14A7"/>
    <w:rsid w:val="00762970"/>
    <w:rsid w:val="00764BB6"/>
    <w:rsid w:val="00785557"/>
    <w:rsid w:val="007E1946"/>
    <w:rsid w:val="00891D93"/>
    <w:rsid w:val="008E0EC1"/>
    <w:rsid w:val="009320D8"/>
    <w:rsid w:val="00942729"/>
    <w:rsid w:val="00AF6FE2"/>
    <w:rsid w:val="00B266E0"/>
    <w:rsid w:val="00BF35C8"/>
    <w:rsid w:val="00C31433"/>
    <w:rsid w:val="00D33A1B"/>
    <w:rsid w:val="00E23075"/>
    <w:rsid w:val="00EC5C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622D"/>
  <w15:chartTrackingRefBased/>
  <w15:docId w15:val="{38EE9589-A7F2-4CF7-94B6-F63E0915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B26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6E0"/>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266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66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66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66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66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66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B266E0"/>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B266E0"/>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B266E0"/>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B266E0"/>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B266E0"/>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B266E0"/>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B266E0"/>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B266E0"/>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B266E0"/>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B26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6E0"/>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B266E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266E0"/>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B266E0"/>
    <w:pPr>
      <w:spacing w:before="160"/>
      <w:jc w:val="center"/>
    </w:pPr>
    <w:rPr>
      <w:i/>
      <w:iCs/>
      <w:color w:val="404040" w:themeColor="text1" w:themeTint="BF"/>
    </w:rPr>
  </w:style>
  <w:style w:type="character" w:customStyle="1" w:styleId="QuoteChar">
    <w:name w:val="Quote Char"/>
    <w:basedOn w:val="DefaultParagraphFont"/>
    <w:link w:val="Quote"/>
    <w:uiPriority w:val="29"/>
    <w:rsid w:val="00B266E0"/>
    <w:rPr>
      <w:i/>
      <w:iCs/>
      <w:noProof/>
      <w:color w:val="404040" w:themeColor="text1" w:themeTint="BF"/>
      <w:lang w:bidi="ar-EG"/>
    </w:rPr>
  </w:style>
  <w:style w:type="paragraph" w:styleId="ListParagraph">
    <w:name w:val="List Paragraph"/>
    <w:basedOn w:val="Normal"/>
    <w:uiPriority w:val="34"/>
    <w:qFormat/>
    <w:rsid w:val="00B266E0"/>
    <w:pPr>
      <w:ind w:left="720"/>
      <w:contextualSpacing/>
    </w:pPr>
  </w:style>
  <w:style w:type="character" w:styleId="IntenseEmphasis">
    <w:name w:val="Intense Emphasis"/>
    <w:basedOn w:val="DefaultParagraphFont"/>
    <w:uiPriority w:val="21"/>
    <w:qFormat/>
    <w:rsid w:val="00B266E0"/>
    <w:rPr>
      <w:i/>
      <w:iCs/>
      <w:color w:val="2F5496" w:themeColor="accent1" w:themeShade="BF"/>
    </w:rPr>
  </w:style>
  <w:style w:type="paragraph" w:styleId="IntenseQuote">
    <w:name w:val="Intense Quote"/>
    <w:basedOn w:val="Normal"/>
    <w:next w:val="Normal"/>
    <w:link w:val="IntenseQuoteChar"/>
    <w:uiPriority w:val="30"/>
    <w:qFormat/>
    <w:rsid w:val="00B26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6E0"/>
    <w:rPr>
      <w:i/>
      <w:iCs/>
      <w:noProof/>
      <w:color w:val="2F5496" w:themeColor="accent1" w:themeShade="BF"/>
      <w:lang w:bidi="ar-EG"/>
    </w:rPr>
  </w:style>
  <w:style w:type="character" w:styleId="IntenseReference">
    <w:name w:val="Intense Reference"/>
    <w:basedOn w:val="DefaultParagraphFont"/>
    <w:uiPriority w:val="32"/>
    <w:qFormat/>
    <w:rsid w:val="00B266E0"/>
    <w:rPr>
      <w:b/>
      <w:bCs/>
      <w:smallCaps/>
      <w:color w:val="2F5496" w:themeColor="accent1" w:themeShade="BF"/>
      <w:spacing w:val="5"/>
    </w:rPr>
  </w:style>
  <w:style w:type="character" w:styleId="Hyperlink">
    <w:name w:val="Hyperlink"/>
    <w:basedOn w:val="DefaultParagraphFont"/>
    <w:uiPriority w:val="99"/>
    <w:unhideWhenUsed/>
    <w:rsid w:val="003752EC"/>
    <w:rPr>
      <w:color w:val="0563C1" w:themeColor="hyperlink"/>
      <w:u w:val="single"/>
    </w:rPr>
  </w:style>
  <w:style w:type="character" w:styleId="UnresolvedMention">
    <w:name w:val="Unresolved Mention"/>
    <w:basedOn w:val="DefaultParagraphFont"/>
    <w:uiPriority w:val="99"/>
    <w:semiHidden/>
    <w:unhideWhenUsed/>
    <w:rsid w:val="003752EC"/>
    <w:rPr>
      <w:color w:val="605E5C"/>
      <w:shd w:val="clear" w:color="auto" w:fill="E1DFDD"/>
    </w:rPr>
  </w:style>
  <w:style w:type="character" w:styleId="FollowedHyperlink">
    <w:name w:val="FollowedHyperlink"/>
    <w:basedOn w:val="DefaultParagraphFont"/>
    <w:uiPriority w:val="99"/>
    <w:semiHidden/>
    <w:unhideWhenUsed/>
    <w:rsid w:val="000704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Die%20Angelegenheit%20k&#246;nnte%20zu%20einer%20Zuchtfrage" TargetMode="External"/><Relationship Id="rId4" Type="http://schemas.openxmlformats.org/officeDocument/2006/relationships/hyperlink" Target="https://biblische-lehre-wm.de/wp-content/uploads/Ueber-die-Zucht-JN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6</cp:revision>
  <dcterms:created xsi:type="dcterms:W3CDTF">2025-12-01T09:26:00Z</dcterms:created>
  <dcterms:modified xsi:type="dcterms:W3CDTF">2025-12-02T13:39:00Z</dcterms:modified>
</cp:coreProperties>
</file>