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A05AB" w14:textId="3BA546B9" w:rsidR="00931086" w:rsidRDefault="00000000">
      <w:pPr>
        <w:rPr>
          <w:rtl/>
        </w:rPr>
      </w:pPr>
      <w:hyperlink r:id="rId7" w:history="1">
        <w:r w:rsidR="004C2697" w:rsidRPr="004C2697">
          <w:rPr>
            <w:rStyle w:val="Hyperlink"/>
            <w:rtl/>
          </w:rPr>
          <w:t>تدبير ملكوت السموات</w:t>
        </w:r>
      </w:hyperlink>
    </w:p>
    <w:p w14:paraId="2FEC0A7E" w14:textId="2DA02D85" w:rsidR="00AB60B7" w:rsidRDefault="00AB60B7" w:rsidP="00AB60B7">
      <w:pPr>
        <w:jc w:val="right"/>
        <w:rPr>
          <w:rtl/>
        </w:rPr>
      </w:pPr>
      <w:r w:rsidRPr="00AB60B7">
        <w:t>J. N. Darby</w:t>
      </w:r>
    </w:p>
    <w:p w14:paraId="05961C8A" w14:textId="531632F5" w:rsidR="00AB60B7" w:rsidRDefault="00AB60B7">
      <w:pPr>
        <w:rPr>
          <w:rFonts w:hint="cs"/>
          <w:rtl/>
        </w:rPr>
      </w:pPr>
      <w:r>
        <w:rPr>
          <w:rFonts w:hint="cs"/>
          <w:rtl/>
        </w:rPr>
        <w:t>متى 13</w:t>
      </w:r>
    </w:p>
    <w:p w14:paraId="21421472" w14:textId="29609A5E" w:rsidR="002C13C5" w:rsidRDefault="00B45F8E" w:rsidP="002C13C5">
      <w:pPr>
        <w:rPr>
          <w:rtl/>
        </w:rPr>
      </w:pPr>
      <w:r>
        <w:rPr>
          <w:rFonts w:hint="cs"/>
          <w:rtl/>
        </w:rPr>
        <w:t>عندي</w:t>
      </w:r>
      <w:r w:rsidR="002C13C5">
        <w:rPr>
          <w:rFonts w:hint="cs"/>
          <w:rtl/>
        </w:rPr>
        <w:t xml:space="preserve"> بعض الكلمات لأقولها عن هذا الإصحاح أو هذه المجموعة من الأمثال، بيقين عميق، أننا لا نفهم جميع "سرائر ملكوت السموات" بشكل كامل؛ وذلك ليس فقط </w:t>
      </w:r>
      <w:r w:rsidR="009974D5">
        <w:rPr>
          <w:rFonts w:hint="cs"/>
          <w:rtl/>
        </w:rPr>
        <w:t>بسبب</w:t>
      </w:r>
      <w:r w:rsidR="002C13C5">
        <w:rPr>
          <w:rFonts w:hint="cs"/>
          <w:rtl/>
        </w:rPr>
        <w:t xml:space="preserve"> عواطف شخصية نحو ضعفات كأفراد، وإنما على أساس اتساع وعمق الحكمة الإلهية المتضمنة فيها </w:t>
      </w:r>
      <w:r w:rsidR="002C13C5">
        <w:rPr>
          <w:rtl/>
        </w:rPr>
        <w:t>–</w:t>
      </w:r>
      <w:r w:rsidR="002C13C5">
        <w:rPr>
          <w:rFonts w:hint="cs"/>
          <w:rtl/>
        </w:rPr>
        <w:t xml:space="preserve"> وهي حكمة منسوجة بجملة المشورات الإلهية وتطورها </w:t>
      </w:r>
      <w:r w:rsidR="002C13C5">
        <w:rPr>
          <w:rtl/>
        </w:rPr>
        <w:t>–</w:t>
      </w:r>
      <w:r w:rsidR="002C13C5">
        <w:rPr>
          <w:rFonts w:hint="cs"/>
          <w:rtl/>
        </w:rPr>
        <w:t xml:space="preserve"> فهي حكمة لا يمكن الحصول عليها بفقرات منفصلة، مجزّأة، وإنما في فهم روح الله النابع من ملء الروح، المنعكس من التطبيق الروحي للكتاب</w:t>
      </w:r>
      <w:r w:rsidR="002C13C5">
        <w:rPr>
          <w:rStyle w:val="FootnoteReference"/>
          <w:rtl/>
        </w:rPr>
        <w:footnoteReference w:id="1"/>
      </w:r>
      <w:r w:rsidR="002C13C5">
        <w:rPr>
          <w:rFonts w:hint="cs"/>
          <w:rtl/>
        </w:rPr>
        <w:t xml:space="preserve">. غير أن اعتقادي هو أنه من نصيبنا نحن كمؤمنين، بأن ندرك </w:t>
      </w:r>
      <w:r w:rsidR="002C13C5">
        <w:rPr>
          <w:rtl/>
        </w:rPr>
        <w:t>–</w:t>
      </w:r>
      <w:r w:rsidR="002C13C5">
        <w:rPr>
          <w:rFonts w:hint="cs"/>
          <w:rtl/>
        </w:rPr>
        <w:t xml:space="preserve"> نصيبنا المبارك؛ وبأنه متاح لنا في ثقتنا بمحبته</w:t>
      </w:r>
      <w:r w:rsidR="002B1B8D">
        <w:rPr>
          <w:rFonts w:hint="cs"/>
          <w:rtl/>
        </w:rPr>
        <w:t>، بأن ننطق أيضًا بما قد فهمناه بروح الله، ونضعه تحت حكم إخوتنا.</w:t>
      </w:r>
    </w:p>
    <w:p w14:paraId="3CA1C279" w14:textId="307A43A3" w:rsidR="002B1B8D" w:rsidRDefault="002B1B8D" w:rsidP="00634C10">
      <w:pPr>
        <w:rPr>
          <w:rtl/>
        </w:rPr>
      </w:pPr>
      <w:r>
        <w:rPr>
          <w:rFonts w:hint="cs"/>
          <w:rtl/>
        </w:rPr>
        <w:t>وفي اعتمادي هذا على الرب سأشرح ما يبدو لي أنه ترتيب وقوة هذه المجموعة من الأمثال. فمعناها المفصّل لربما قد يكون موضوعًا لتأملات قادمة. فأولاً أود بأن أنوّه بأن العبارات "ملكوت السماء" كما و"ملكوت أبيكم أو أبيهم" ترد في متى -وهي عبارات لا تخلو من أهميتها. فالاستثناء الوحيد يشكله التطبيق الضمني للعبارة الأخيرة في الإرشاد في الصلاة</w:t>
      </w:r>
      <w:r w:rsidR="00634C10">
        <w:rPr>
          <w:rFonts w:hint="cs"/>
          <w:rtl/>
        </w:rPr>
        <w:t xml:space="preserve"> في لوقا 11: وهو استثناء لا يخلو مما هو جدير بالملاحظة، والذي هنا سأتطرق إليه فقط حتى أوضح، بأن الملكوت الذي علينا أن نصلي لأجله على أي حال، هو ملكوت الآب. في هذه الأمثال نحن نجدهما كليهما: عبارة "ملكوت السماء" ترد في جميعها ما عدا الأول منها، بينما عبارة "ملكوت الآب" فيرد في شرح المثل الثاني. إن معنى أول عبارة ذُكرت لا يظهر فقط في أنه هو موضوع إيجابي في كل الأمثلة الأخرى</w:t>
      </w:r>
      <w:r w:rsidR="00B45F8E" w:rsidRPr="00B45F8E">
        <w:rPr>
          <w:rtl/>
        </w:rPr>
        <w:t xml:space="preserve"> ما عدا في المثل الأول</w:t>
      </w:r>
      <w:r w:rsidR="00634C10">
        <w:rPr>
          <w:rFonts w:hint="cs"/>
          <w:rtl/>
        </w:rPr>
        <w:t>، وإنما كذلك في قول الرب الصريح: "</w:t>
      </w:r>
      <w:r w:rsidR="00634C10" w:rsidRPr="00634C10">
        <w:rPr>
          <w:rtl/>
        </w:rPr>
        <w:t>«مِنْ أَجْلِ ذلِكَ كُلُّ كَاتِبٍ مُتَعَلِّمٍ فِي مَلَكُوتِ السَّمَاوَاتِ يُشْبِهُ رَجُلاً رَبَّ بَيْتٍ يُخْرِجُ مِنْ كَنْزِهِ جُدُدًا وَعُتَقَاءَ».</w:t>
      </w:r>
      <w:r w:rsidR="00634C10">
        <w:rPr>
          <w:rFonts w:hint="cs"/>
          <w:rtl/>
        </w:rPr>
        <w:t>"</w:t>
      </w:r>
      <w:r w:rsidR="00634C10">
        <w:rPr>
          <w:rStyle w:val="FootnoteReference"/>
          <w:rtl/>
        </w:rPr>
        <w:footnoteReference w:id="2"/>
      </w:r>
      <w:r w:rsidR="00901904">
        <w:rPr>
          <w:rFonts w:hint="cs"/>
          <w:rtl/>
        </w:rPr>
        <w:t>، لذا كل كاتب من الكتبة قد أجاد تعلمه في شرائع موسى كان بمقدوره أن يُخرج العتيق ويبينه؛ وبكونه قد تعلم "في ملكوت السموات" كان بوسعه أن يُخرج الجُدد من كنزه. فلقد كان يجب أن يحتوي</w:t>
      </w:r>
      <w:r w:rsidR="00922A37">
        <w:rPr>
          <w:rFonts w:hint="cs"/>
          <w:rtl/>
        </w:rPr>
        <w:t xml:space="preserve"> على</w:t>
      </w:r>
      <w:r w:rsidR="00901904">
        <w:rPr>
          <w:rFonts w:hint="cs"/>
          <w:rtl/>
        </w:rPr>
        <w:t xml:space="preserve"> الجديد ولكن أن لا يتخلى عن العتيق؛ فما قد تعلمه بكونه كأحد الكتبة، كان في عيني المسيح كنزًا، كان عليه أن يُظهره للنور الذي هو من الكتبة "المتعلم في ملكوت السموات". لذا فإني أنظر إلى هذه الأمثال كقول نبوي متكامل عن طابع وتفاصيل الظروف التي سيُقام فيها ملكوت السموات.</w:t>
      </w:r>
    </w:p>
    <w:p w14:paraId="02B63A45" w14:textId="23E61880" w:rsidR="00A77A16" w:rsidRDefault="008E7A69" w:rsidP="00634C10">
      <w:pPr>
        <w:rPr>
          <w:rtl/>
        </w:rPr>
      </w:pPr>
      <w:r>
        <w:rPr>
          <w:rFonts w:hint="cs"/>
          <w:rtl/>
        </w:rPr>
        <w:t xml:space="preserve">إنها بمجملها سبع أمثلة </w:t>
      </w:r>
      <w:r>
        <w:rPr>
          <w:rtl/>
        </w:rPr>
        <w:t>–</w:t>
      </w:r>
      <w:r>
        <w:rPr>
          <w:rFonts w:hint="cs"/>
          <w:rtl/>
        </w:rPr>
        <w:t xml:space="preserve"> وهي وسيلة شائعة للتعبير عن الاكتمال أو الكمال الموجود في الأقوال النبوية، ما لا يمكن أن يفوت القارئ النبيه للكتاب المقدس؛ ستة منها هي أمثال عن ملكوت السموات </w:t>
      </w:r>
      <w:r>
        <w:rPr>
          <w:rtl/>
        </w:rPr>
        <w:t>–</w:t>
      </w:r>
      <w:r>
        <w:rPr>
          <w:rFonts w:hint="cs"/>
          <w:rtl/>
        </w:rPr>
        <w:t xml:space="preserve"> الأول، حيث التعامل الموصوف فيه ليس هو تعامل ابن الإنسان قبل صعوده إلى السماء، كما وأن نتائجه هي التي تظهر في أفراد من الناس ما قبل صعوده إلى السماء وبعده. فهذا المثل يوضح طريقة تأثير الملكوت ونتائجه الخاصة؛ أما الأمثال الأخرى فتوضح تدبير</w:t>
      </w:r>
      <w:r w:rsidR="00E638E5">
        <w:rPr>
          <w:rFonts w:hint="cs"/>
          <w:rtl/>
        </w:rPr>
        <w:t xml:space="preserve"> (وكالة)</w:t>
      </w:r>
      <w:r>
        <w:rPr>
          <w:rFonts w:hint="cs"/>
          <w:rtl/>
        </w:rPr>
        <w:t xml:space="preserve"> الملكوت.</w:t>
      </w:r>
    </w:p>
    <w:p w14:paraId="78CD8886" w14:textId="12448E64" w:rsidR="008E7A69" w:rsidRDefault="00E638E5" w:rsidP="00634C10">
      <w:pPr>
        <w:rPr>
          <w:rtl/>
        </w:rPr>
      </w:pPr>
      <w:r>
        <w:rPr>
          <w:rFonts w:hint="cs"/>
          <w:rtl/>
        </w:rPr>
        <w:t xml:space="preserve">ولكي نعود إلى "الجدد والعتقاء" </w:t>
      </w:r>
      <w:r>
        <w:rPr>
          <w:rtl/>
        </w:rPr>
        <w:t>–</w:t>
      </w:r>
      <w:r>
        <w:rPr>
          <w:rFonts w:hint="cs"/>
          <w:rtl/>
        </w:rPr>
        <w:t xml:space="preserve"> فإن حقيقة ملكوت السموات من الممكن جدًا الإشارة إليها بأنها "العتقاء"؛ فكل مَن كان له خبرة بدانيال وأضمر في قلبه آمال الناموس العتيق بكل تأكيد كان بوسعه أن يعتبر هذا الأمر. فتسلسل تطوره ومكانته كان "شيئًا جديدًا"، كان سيُعلَن من بعد ظهور المسيح، الابن (وعلينا أن نضيف، وإن كنا لن نواصل به هنا)</w:t>
      </w:r>
      <w:r>
        <w:rPr>
          <w:rStyle w:val="FootnoteReference"/>
          <w:rtl/>
        </w:rPr>
        <w:footnoteReference w:id="3"/>
      </w:r>
      <w:r>
        <w:rPr>
          <w:rFonts w:hint="cs"/>
          <w:rtl/>
        </w:rPr>
        <w:t xml:space="preserve"> ورفضه وقيامته. فالحقيقة التي استُعلنت في شهادات نبوية بشكل واضح، كانت تسليم الملكوت لابن </w:t>
      </w:r>
      <w:r w:rsidRPr="00396862">
        <w:rPr>
          <w:rtl/>
        </w:rPr>
        <w:t>الإنسان</w:t>
      </w:r>
      <w:r>
        <w:rPr>
          <w:rFonts w:hint="cs"/>
          <w:rtl/>
        </w:rPr>
        <w:t>.</w:t>
      </w:r>
      <w:r w:rsidR="00396862">
        <w:rPr>
          <w:rFonts w:hint="cs"/>
          <w:rtl/>
        </w:rPr>
        <w:t xml:space="preserve"> فالمعرفة بأن السموات ستملك، كان درسًا كان يجب تعليمه في إطار قمع وإبطال رياسة الأمم المتوقع. إلا أن حكمًا أرضيًا على الشعب اليهودي كان توقعًا كان ينبغي على كل يهودي (كل مَن استلم النبوة حرفيًا، كما كان ينبغي أن يفعله كل يهودي) </w:t>
      </w:r>
      <w:r w:rsidR="00396862" w:rsidRPr="00396862">
        <w:rPr>
          <w:rtl/>
        </w:rPr>
        <w:t>أن يتمسك به بحق</w:t>
      </w:r>
      <w:r w:rsidR="00396862">
        <w:rPr>
          <w:rFonts w:hint="cs"/>
          <w:rtl/>
        </w:rPr>
        <w:t xml:space="preserve">، لأنه كان يهوديًا، بالاعتماد على إيمانه بالخبر النبوي. وفي وسط هذه التصورات (ربما المحيّرة، ولكنها </w:t>
      </w:r>
      <w:r w:rsidR="00A27A31">
        <w:rPr>
          <w:rFonts w:hint="cs"/>
          <w:rtl/>
        </w:rPr>
        <w:t>الصادقة</w:t>
      </w:r>
      <w:r w:rsidR="00396862">
        <w:rPr>
          <w:rFonts w:hint="cs"/>
          <w:rtl/>
        </w:rPr>
        <w:t xml:space="preserve"> وإلى حد ما فيها إيمان) جاء ربنا بشرح واضح بأن "ملكوت السموات </w:t>
      </w:r>
      <w:r w:rsidR="00396862" w:rsidRPr="00A27A31">
        <w:rPr>
          <w:rFonts w:hint="cs"/>
          <w:rtl/>
        </w:rPr>
        <w:t>قريب</w:t>
      </w:r>
      <w:r w:rsidR="00396862">
        <w:rPr>
          <w:rFonts w:hint="cs"/>
          <w:rtl/>
        </w:rPr>
        <w:t>".</w:t>
      </w:r>
    </w:p>
    <w:p w14:paraId="775F1BAF" w14:textId="5D817F42" w:rsidR="00A27A31" w:rsidRDefault="00A27A31" w:rsidP="00634C10">
      <w:pPr>
        <w:rPr>
          <w:rtl/>
        </w:rPr>
      </w:pPr>
      <w:r>
        <w:rPr>
          <w:rFonts w:hint="cs"/>
          <w:rtl/>
        </w:rPr>
        <w:t xml:space="preserve">فأن "ملكوت السموات" هو حصريًا كنيسة الله الحقيقية الغير منظورة، هو شرح لا يتفق مع أي قول في هذه الأمثلة وأمثلة شبيهة. فبأنه حصرًا كنيسة الله المنظورة، لا يتوافق لا مع ما نجده في هذا الإصحاح، ولا هو عرض يليق بالأمر، كما يُستدل من </w:t>
      </w:r>
      <w:r w:rsidR="00212569">
        <w:rPr>
          <w:rFonts w:hint="cs"/>
          <w:rtl/>
        </w:rPr>
        <w:t>مثلي</w:t>
      </w:r>
      <w:r>
        <w:rPr>
          <w:rFonts w:hint="cs"/>
          <w:rtl/>
        </w:rPr>
        <w:t xml:space="preserve"> الكنز واللؤلؤة. فحُكم السماء هو المعنى البسيط لعبارة "ملكوت السموات". فالحُكم الأرضي مارسته الأمم بطريقة غير عادلة؛ </w:t>
      </w:r>
      <w:r w:rsidR="00B45F8E">
        <w:rPr>
          <w:rFonts w:hint="cs"/>
          <w:rtl/>
        </w:rPr>
        <w:t>و</w:t>
      </w:r>
      <w:r>
        <w:rPr>
          <w:rFonts w:hint="cs"/>
          <w:rtl/>
        </w:rPr>
        <w:t xml:space="preserve">اليهود توقعوا الحكم الأرضي، وهم توقعوه، مع أنه كان حقيقيًا، إلا أنه ظالمًا، كما أظهر رفضهم "لقدوس الله"، الذي جاء من السماء </w:t>
      </w:r>
      <w:r>
        <w:rPr>
          <w:rtl/>
        </w:rPr>
        <w:t>–</w:t>
      </w:r>
      <w:r>
        <w:rPr>
          <w:rFonts w:hint="cs"/>
          <w:rtl/>
        </w:rPr>
        <w:t xml:space="preserve"> "ابن الإنسان"، "ملك اليهود". فأهم ما في الأمر إذًا وهي نقطة تدعم الإيمان لشخص قد يظن أنه "كان ذاك الذي سيفدي إسرائيل"، أُدرك في هذه الكلمة "ملكوت السموات"، بأن ربًا مُقام قد يمارس </w:t>
      </w:r>
      <w:r w:rsidRPr="00212569">
        <w:rPr>
          <w:rFonts w:hint="cs"/>
          <w:rtl/>
        </w:rPr>
        <w:t>سلطانه</w:t>
      </w:r>
      <w:r>
        <w:rPr>
          <w:rFonts w:hint="cs"/>
          <w:rtl/>
        </w:rPr>
        <w:t xml:space="preserve">؛ </w:t>
      </w:r>
      <w:r w:rsidR="00212569">
        <w:rPr>
          <w:rFonts w:hint="cs"/>
          <w:rtl/>
        </w:rPr>
        <w:t>ومهما قد يكون وضعهم غير طبيعي ويبدو أنه متداعٍ، لم يكن عليهم أن يتعلموا أمورًا روحية فقط، بل وأيضًا، بأن ملكوت السموات بذاته كان هو الروح في زمن النعمة وترتيب مشورات الله.</w:t>
      </w:r>
    </w:p>
    <w:p w14:paraId="196789FC" w14:textId="3CD5A1C1" w:rsidR="00212569" w:rsidRDefault="00212569" w:rsidP="00B45F8E">
      <w:pPr>
        <w:rPr>
          <w:rtl/>
        </w:rPr>
      </w:pPr>
      <w:r>
        <w:rPr>
          <w:rFonts w:hint="cs"/>
          <w:rtl/>
        </w:rPr>
        <w:t xml:space="preserve">لذا نحن نجد الأمر متميز في ذكره في متى، في الإنجيل الذي يتناول بصورة خاصة زمن النعمة والشهادة </w:t>
      </w:r>
      <w:r w:rsidRPr="00B45F8E">
        <w:rPr>
          <w:rFonts w:hint="cs"/>
          <w:rtl/>
        </w:rPr>
        <w:t>النبوية</w:t>
      </w:r>
      <w:r>
        <w:rPr>
          <w:rFonts w:hint="cs"/>
          <w:rtl/>
        </w:rPr>
        <w:t>.</w:t>
      </w:r>
      <w:r w:rsidR="00B45F8E">
        <w:rPr>
          <w:rFonts w:hint="cs"/>
          <w:rtl/>
        </w:rPr>
        <w:t xml:space="preserve"> ومن الواضح أنه سيقودني إلى حد بعيد حتى أتطرق إلى هذه النقطة عن قرب في طابع الأناجيل الخاص، </w:t>
      </w:r>
      <w:r w:rsidR="00B45F8E" w:rsidRPr="00B45F8E">
        <w:rPr>
          <w:rtl/>
        </w:rPr>
        <w:t>التي تظهر أدلتها بوضوح في ثلاثة منها</w:t>
      </w:r>
      <w:r w:rsidR="00306AB6">
        <w:rPr>
          <w:rFonts w:hint="cs"/>
          <w:rtl/>
        </w:rPr>
        <w:t xml:space="preserve"> </w:t>
      </w:r>
      <w:r w:rsidR="00306AB6">
        <w:rPr>
          <w:rtl/>
        </w:rPr>
        <w:t>–</w:t>
      </w:r>
      <w:r w:rsidR="00306AB6">
        <w:rPr>
          <w:rFonts w:hint="cs"/>
          <w:rtl/>
        </w:rPr>
        <w:t xml:space="preserve"> وفي الإنجيل الرابع فهي تتضح من خلال سلسلة من التفاصيل الصغيرة.</w:t>
      </w:r>
    </w:p>
    <w:p w14:paraId="492E458D" w14:textId="4E991717" w:rsidR="00306AB6" w:rsidRDefault="00306AB6" w:rsidP="00B45F8E">
      <w:pPr>
        <w:rPr>
          <w:rtl/>
        </w:rPr>
      </w:pPr>
      <w:r>
        <w:rPr>
          <w:rFonts w:hint="cs"/>
          <w:rtl/>
        </w:rPr>
        <w:t>إني أذكر هذا الفارق هنا لأُري الأساس الذي سيُستخدم بموجبه "ملكوت السموات" و"ملكوت الآب" بشكل ملحوظ في إنجيل متى فقط. وهذا كان كشف دقيق، مع أنه شرح متكامل، بأن ترتيب الأمور المقبلة قد حافظ على الرجاء بحسب جوهرها، والذي تم البلاغ عنه بكونه من الله؛ وهو رجاء، نعلم عنه بأنه في الأخير مؤسس على القيامة، ولكنه في شها</w:t>
      </w:r>
      <w:r w:rsidR="00DA0D6E">
        <w:rPr>
          <w:rFonts w:hint="cs"/>
          <w:rtl/>
        </w:rPr>
        <w:t>د</w:t>
      </w:r>
      <w:r>
        <w:rPr>
          <w:rFonts w:hint="cs"/>
          <w:rtl/>
        </w:rPr>
        <w:t xml:space="preserve">تهم في الماضي </w:t>
      </w:r>
      <w:r w:rsidR="00DA0D6E">
        <w:rPr>
          <w:rFonts w:hint="cs"/>
          <w:rtl/>
        </w:rPr>
        <w:t>لم يُطالب اليهود إلا بالتوبة، والذي سياقه سيُستعلن فقط في المجد الألفي للقديسين المُقامين ولليهود التائبين، المتحدين في المسيح والمحفوظين في حياة القيامة وقوة بركات اليهود على الأرض ونتائجها. وهو في الوقت ذاته مرافق وخادم فرح القديسين مَن قاموا كأبناء في شركة معه في بيت الآب.</w:t>
      </w:r>
    </w:p>
    <w:p w14:paraId="410E53FB" w14:textId="2A276F0E" w:rsidR="00DA0D6E" w:rsidRDefault="00DA0D6E" w:rsidP="00B45F8E">
      <w:pPr>
        <w:rPr>
          <w:rtl/>
        </w:rPr>
      </w:pPr>
      <w:r>
        <w:rPr>
          <w:rFonts w:hint="cs"/>
          <w:rtl/>
        </w:rPr>
        <w:t xml:space="preserve">غير أن ربنا يكشف في هذا الإصحاح طابعه الفعلي، وعلينا أن نبذل الجهد حتى نُدخل "الأمور الجديدة" في "الملكوت"، حتى نفهم بالكامل الأساس القائم عليها ملكوت السموات الآن. إننا هنا لدينا ملكوتين آخرين </w:t>
      </w:r>
      <w:r>
        <w:rPr>
          <w:rtl/>
        </w:rPr>
        <w:t>–</w:t>
      </w:r>
      <w:r>
        <w:rPr>
          <w:rFonts w:hint="cs"/>
          <w:rtl/>
        </w:rPr>
        <w:t xml:space="preserve"> "ملكوت الآب"، أي ملكوت الأبرار، و"ملكوت ابن الإنسان". ونحن لسنا ولا في أي واحد منهما الآن، في حصر اللفظ. إن ابن الإنسان سيعمل هذا وذاك، ومن ثم سيفعل "</w:t>
      </w:r>
      <w:r w:rsidR="00751484" w:rsidRPr="00751484">
        <w:rPr>
          <w:rtl/>
        </w:rPr>
        <w:t xml:space="preserve"> الأَبْرَارُ</w:t>
      </w:r>
      <w:r>
        <w:rPr>
          <w:rFonts w:hint="cs"/>
          <w:rtl/>
        </w:rPr>
        <w:t>"</w:t>
      </w:r>
      <w:r w:rsidR="00751484">
        <w:rPr>
          <w:rFonts w:hint="cs"/>
          <w:rtl/>
        </w:rPr>
        <w:t xml:space="preserve"> وما إلى ذلك</w:t>
      </w:r>
      <w:r w:rsidR="00751484">
        <w:rPr>
          <w:rStyle w:val="FootnoteReference"/>
          <w:rtl/>
        </w:rPr>
        <w:footnoteReference w:id="4"/>
      </w:r>
      <w:r w:rsidR="00751484">
        <w:rPr>
          <w:rFonts w:hint="cs"/>
          <w:rtl/>
        </w:rPr>
        <w:t>.</w:t>
      </w:r>
    </w:p>
    <w:p w14:paraId="577B6F3D" w14:textId="1087B6C4" w:rsidR="00751484" w:rsidRDefault="00751484" w:rsidP="00B45F8E">
      <w:pPr>
        <w:rPr>
          <w:rtl/>
        </w:rPr>
      </w:pPr>
      <w:r>
        <w:rPr>
          <w:rFonts w:hint="cs"/>
          <w:rtl/>
        </w:rPr>
        <w:t>هذان الملكوتان هما التطور الكامل للشيء الذي هو الآن غير مستقر في حالة عادية وغامضة (صحيح أنه مجيد ومبارك، ولكنه غامض</w:t>
      </w:r>
      <w:r>
        <w:rPr>
          <w:rStyle w:val="FootnoteReference"/>
          <w:rtl/>
        </w:rPr>
        <w:footnoteReference w:id="5"/>
      </w:r>
      <w:r>
        <w:rPr>
          <w:rFonts w:hint="cs"/>
          <w:rtl/>
        </w:rPr>
        <w:t xml:space="preserve"> من جهة نتائجه المعلنة) أي "ملكوت ابن محبته"، ملكوت ابن الله الجالس على عرش الآب. إنه ليس ملكوت ابن الإنسان؛ ولا هو ملكوت الآب، وإنما ملكوت ابن الله الجالس على عرش أبيه؛ </w:t>
      </w:r>
      <w:r w:rsidR="00E4721C">
        <w:rPr>
          <w:rFonts w:hint="cs"/>
          <w:rtl/>
        </w:rPr>
        <w:t>فهو الخروف، الذي رُفض وذُبح و</w:t>
      </w:r>
      <w:r w:rsidR="00E31370">
        <w:rPr>
          <w:rFonts w:hint="cs"/>
          <w:rtl/>
        </w:rPr>
        <w:t>ال</w:t>
      </w:r>
      <w:r w:rsidR="00E4721C">
        <w:rPr>
          <w:rFonts w:hint="cs"/>
          <w:rtl/>
        </w:rPr>
        <w:t>جالس عن يمين الله أو وسط العرش. إني أعتقد بأن السر العظيم لترتيب الملكوت الحاضر، هو الوعد: "</w:t>
      </w:r>
      <w:r w:rsidR="00E4721C" w:rsidRPr="00E4721C">
        <w:rPr>
          <w:rtl/>
        </w:rPr>
        <w:t xml:space="preserve"> مَنْ يَغْلِبُ فَسَأُعْطِيهِ أَنْ يَجْلِسَ مَعِي فِي عَرْشِي، كَمَا غَلَبْتُ أَنَا أَيْضًا وَجَلَسْتُ مَعَ أَبِي فِي عَرْشِهِ.</w:t>
      </w:r>
      <w:r w:rsidR="00E4721C" w:rsidRPr="00E4721C">
        <w:rPr>
          <w:rFonts w:hint="cs"/>
          <w:rtl/>
        </w:rPr>
        <w:t xml:space="preserve"> </w:t>
      </w:r>
      <w:r w:rsidR="00E4721C">
        <w:rPr>
          <w:rFonts w:hint="cs"/>
          <w:rtl/>
        </w:rPr>
        <w:t>" حيث لم يجلس أي قديس بعد، لا أحد إلا الذي يستحق ذلك.</w:t>
      </w:r>
    </w:p>
    <w:p w14:paraId="3F5FE9B3" w14:textId="46662088" w:rsidR="00FE7D9C" w:rsidRDefault="00FE7D9C" w:rsidP="00B45F8E">
      <w:pPr>
        <w:rPr>
          <w:rtl/>
        </w:rPr>
      </w:pPr>
      <w:r>
        <w:rPr>
          <w:rFonts w:hint="cs"/>
          <w:rtl/>
        </w:rPr>
        <w:t>فهذا المبدأ أو الحق المجيد، بأن ابن الله جالس على عرش أبيه، كموضوع الإيمان في الحاضر، يمتد في كل صيغة كلام ربنا في يوحنا ويترك طابعه على كل حال الأمور الحاضرة. لذا ذُكر بأن الروح قد أرسله الآب، لأنه ليس فقط سيدخلنا في شركة مع يسوع، وإنما كذلك في أن نفهم البنوة بالآب الذي سيسكن الأبرار</w:t>
      </w:r>
      <w:r w:rsidRPr="00FE7D9C">
        <w:rPr>
          <w:rtl/>
        </w:rPr>
        <w:t xml:space="preserve"> بيته وملكوته</w:t>
      </w:r>
      <w:r>
        <w:rPr>
          <w:rFonts w:hint="cs"/>
          <w:rtl/>
        </w:rPr>
        <w:t xml:space="preserve"> ويضيئون </w:t>
      </w:r>
      <w:r w:rsidRPr="00422CCA">
        <w:rPr>
          <w:rtl/>
        </w:rPr>
        <w:t>فيه</w:t>
      </w:r>
      <w:r>
        <w:rPr>
          <w:rFonts w:hint="cs"/>
          <w:rtl/>
        </w:rPr>
        <w:t>.</w:t>
      </w:r>
      <w:r w:rsidR="00422CCA">
        <w:rPr>
          <w:rFonts w:hint="cs"/>
          <w:rtl/>
        </w:rPr>
        <w:t xml:space="preserve"> فالأمثال في متى وبالتحديد إعلان تأسيس ونتائج هذا الملكوت (ملكوت السموات)، الجالس فيه يسوع في سلطان غير منظور على عرش الله والروح العامل بحسب مشيئة الآب، و"خروف" كمن قد ذُبح، نعم، وفي وسط العرش، ولكن لم يزل لم يمتلك الأرض بعد كنصيب له.</w:t>
      </w:r>
    </w:p>
    <w:p w14:paraId="28144381" w14:textId="77777777" w:rsidR="001B6848" w:rsidRDefault="00422CCA" w:rsidP="00B45F8E">
      <w:pPr>
        <w:rPr>
          <w:rtl/>
        </w:rPr>
      </w:pPr>
      <w:r>
        <w:rPr>
          <w:rFonts w:hint="cs"/>
          <w:rtl/>
        </w:rPr>
        <w:t xml:space="preserve">وهنالك سياق آخر يوضح لغة هذه الأمثال </w:t>
      </w:r>
      <w:r>
        <w:rPr>
          <w:rtl/>
        </w:rPr>
        <w:t>–</w:t>
      </w:r>
      <w:r>
        <w:rPr>
          <w:rFonts w:hint="cs"/>
          <w:rtl/>
        </w:rPr>
        <w:t xml:space="preserve"> وأعني التوسع في مفهوم رجاء إسرائيل في مزمور 78، بالمقارنة بالعددين 2 و 35 من هذا الإصحاح. فلم يكن هنالك أي غموض في الوقائع التاريخية، ولكن كان هنالك تعليم في غاية الأهمية وسر في كامل فشل إسرائيل؛ وهو أن إسرائيل الله قد فشل تمامًا على الأرض وسط كل الخلاصات والبركات ومن ثم </w:t>
      </w:r>
      <w:r w:rsidR="001B6848">
        <w:rPr>
          <w:rFonts w:hint="cs"/>
          <w:rtl/>
        </w:rPr>
        <w:t xml:space="preserve">تثبتت تحت حكم داود الملك. لقد كانت مملكة داود التي كان في ارتباطها مع اليهود. لكن كان هنالك أمور أخرى غامضة (مزمور 78: 1؛ متى 13: 35 </w:t>
      </w:r>
      <w:r w:rsidR="001B6848">
        <w:rPr>
          <w:rtl/>
        </w:rPr>
        <w:t>–</w:t>
      </w:r>
      <w:r w:rsidR="001B6848">
        <w:rPr>
          <w:rFonts w:hint="cs"/>
          <w:rtl/>
        </w:rPr>
        <w:t xml:space="preserve"> سر ملكوت السموات العظيم في تدبيره الحالي </w:t>
      </w:r>
      <w:r w:rsidR="001B6848">
        <w:rPr>
          <w:rtl/>
        </w:rPr>
        <w:t>–</w:t>
      </w:r>
      <w:r w:rsidR="001B6848">
        <w:rPr>
          <w:rFonts w:hint="cs"/>
          <w:rtl/>
        </w:rPr>
        <w:t xml:space="preserve"> "أمور جديدة" (إلى جانب حكم داود المسيح على اليهود).</w:t>
      </w:r>
    </w:p>
    <w:p w14:paraId="714F4AD5" w14:textId="086DDC01" w:rsidR="00422CCA" w:rsidRDefault="001B6848" w:rsidP="00B45F8E">
      <w:pPr>
        <w:rPr>
          <w:rtl/>
        </w:rPr>
      </w:pPr>
      <w:r>
        <w:rPr>
          <w:rFonts w:hint="cs"/>
          <w:rtl/>
        </w:rPr>
        <w:t>ربنا (كنبي إسرائيل والملكوت، الذي قد وصل العالم الآن) يحتل في هذه الأمثلة، أو على نحو أفضل، في هذه السلسلة من النبوات، على مكانتين هما جزءا النبوة، التي تحققت فيمَن كان قد تحققت فيه كل مرتبة</w:t>
      </w:r>
      <w:r w:rsidRPr="001B6848">
        <w:rPr>
          <w:rFonts w:hint="cs"/>
          <w:rtl/>
        </w:rPr>
        <w:t>، فالكنيسة لم تكن بحاجة في</w:t>
      </w:r>
      <w:r>
        <w:rPr>
          <w:rFonts w:hint="cs"/>
          <w:rtl/>
        </w:rPr>
        <w:t xml:space="preserve"> </w:t>
      </w:r>
      <w:r w:rsidRPr="001B6848">
        <w:rPr>
          <w:rFonts w:hint="cs"/>
          <w:rtl/>
        </w:rPr>
        <w:t>الترتيب لأية نبوة</w:t>
      </w:r>
      <w:r>
        <w:rPr>
          <w:rStyle w:val="FootnoteReference"/>
          <w:rtl/>
        </w:rPr>
        <w:footnoteReference w:id="6"/>
      </w:r>
      <w:r>
        <w:rPr>
          <w:rFonts w:hint="cs"/>
          <w:rtl/>
        </w:rPr>
        <w:t>، تمامًا مثل إسرائيل. وبصورة غير مرتبة</w:t>
      </w:r>
      <w:r w:rsidR="004E77FB">
        <w:rPr>
          <w:rFonts w:hint="cs"/>
          <w:rtl/>
        </w:rPr>
        <w:t xml:space="preserve"> كان للشهادة النبوية مرتبتان: الشهادة عن عدم الترتيب هذا وأسلوب مقاصد الله، الذي يفوق عدم الترتيب </w:t>
      </w:r>
      <w:r w:rsidR="004E77FB" w:rsidRPr="004B3C62">
        <w:rPr>
          <w:rtl/>
        </w:rPr>
        <w:t>البشري</w:t>
      </w:r>
      <w:r w:rsidR="004E77FB">
        <w:rPr>
          <w:rFonts w:hint="cs"/>
          <w:rtl/>
        </w:rPr>
        <w:t xml:space="preserve"> </w:t>
      </w:r>
      <w:r w:rsidR="004B3C62">
        <w:rPr>
          <w:rtl/>
        </w:rPr>
        <w:t>–</w:t>
      </w:r>
      <w:r w:rsidR="004E77FB">
        <w:rPr>
          <w:rFonts w:hint="cs"/>
          <w:rtl/>
        </w:rPr>
        <w:t xml:space="preserve"> </w:t>
      </w:r>
      <w:r w:rsidR="004B3C62">
        <w:rPr>
          <w:rFonts w:hint="cs"/>
          <w:rtl/>
        </w:rPr>
        <w:t xml:space="preserve">القضاء العادل على هذا الترتيب وأسلوب مخطط نعمة الله، مقاصد الله في طابعها الأخلاقية وحكمة قصده. وكلاهما يفترضهما الروح أو يعترف بهما، كما وضّحه ربنا في هذا الإصحاح. والأول قد وضّحناه في </w:t>
      </w:r>
      <w:r w:rsidR="001F4EAF">
        <w:rPr>
          <w:rFonts w:hint="cs"/>
          <w:rtl/>
        </w:rPr>
        <w:t>إرسالية</w:t>
      </w:r>
      <w:r w:rsidR="004B3C62">
        <w:rPr>
          <w:rFonts w:hint="cs"/>
          <w:rtl/>
        </w:rPr>
        <w:t xml:space="preserve"> إشعياء النبوية الكبيرة (إصجاح 6)، حيث رؤية مجد الرب المُعلَن بأكمله تتضمن حصريًا مَن لم يتمكنوا من رؤية هذا المجد، إذ أنه كان قد أُعلن الآن، وذلك لعلة العمى القضائي. وهذا قد تم في ربنا. وهنا كان كامل مجد الرب وروح الإعلان، ولذا أصابت الكلمة العمى القضائي مباشرة</w:t>
      </w:r>
      <w:r w:rsidR="00E60D29">
        <w:rPr>
          <w:rFonts w:hint="cs"/>
          <w:rtl/>
        </w:rPr>
        <w:t>؛ وقد كلمهم بهذا في أمثال. وبالمقارنة باللغة التي في حزقيال كما وأيضًا في زكريا يؤكّد على هذه الرؤية: "</w:t>
      </w:r>
      <w:r w:rsidR="00E60D29" w:rsidRPr="00E60D29">
        <w:rPr>
          <w:rtl/>
        </w:rPr>
        <w:t>فَتَعْلَمِينَ أَنَّ رَبَّ الْجُنُودِ قَدْ أَرْسَلَنِي إِلَيْكِ.</w:t>
      </w:r>
      <w:r w:rsidR="00E60D29">
        <w:rPr>
          <w:rFonts w:hint="cs"/>
          <w:rtl/>
        </w:rPr>
        <w:t>" (زكريا 2: 11). "</w:t>
      </w:r>
      <w:r w:rsidR="00E60D29" w:rsidRPr="00E60D29">
        <w:rPr>
          <w:rFonts w:ascii="Tahoma" w:hAnsi="Tahoma" w:cs="Tahoma" w:hint="cs"/>
          <w:rtl/>
        </w:rPr>
        <w:t>﻿</w:t>
      </w:r>
      <w:r w:rsidR="00E60D29" w:rsidRPr="00E60D29">
        <w:rPr>
          <w:rFonts w:hint="cs"/>
          <w:rtl/>
        </w:rPr>
        <w:t>فِي</w:t>
      </w:r>
      <w:r w:rsidR="00E60D29" w:rsidRPr="00E60D29">
        <w:rPr>
          <w:rtl/>
        </w:rPr>
        <w:t xml:space="preserve"> </w:t>
      </w:r>
      <w:r w:rsidR="00E60D29" w:rsidRPr="00E60D29">
        <w:rPr>
          <w:rFonts w:hint="cs"/>
          <w:rtl/>
        </w:rPr>
        <w:t>ذلِكَ</w:t>
      </w:r>
      <w:r w:rsidR="00E60D29" w:rsidRPr="00E60D29">
        <w:rPr>
          <w:rtl/>
        </w:rPr>
        <w:t xml:space="preserve"> </w:t>
      </w:r>
      <w:r w:rsidR="00E60D29" w:rsidRPr="00E60D29">
        <w:rPr>
          <w:rFonts w:hint="cs"/>
          <w:rtl/>
        </w:rPr>
        <w:t>الْيَوْمِ</w:t>
      </w:r>
      <w:r w:rsidR="00E60D29" w:rsidRPr="00E60D29">
        <w:rPr>
          <w:rtl/>
        </w:rPr>
        <w:t xml:space="preserve"> </w:t>
      </w:r>
      <w:r w:rsidR="00E60D29" w:rsidRPr="00E60D29">
        <w:rPr>
          <w:rFonts w:hint="cs"/>
          <w:rtl/>
        </w:rPr>
        <w:t>يَنْفَتِحُ</w:t>
      </w:r>
      <w:r w:rsidR="00E60D29" w:rsidRPr="00E60D29">
        <w:rPr>
          <w:rtl/>
        </w:rPr>
        <w:t xml:space="preserve"> </w:t>
      </w:r>
      <w:r w:rsidR="00E60D29" w:rsidRPr="00E60D29">
        <w:rPr>
          <w:rFonts w:hint="cs"/>
          <w:rtl/>
        </w:rPr>
        <w:t>فَمُكَ</w:t>
      </w:r>
      <w:r w:rsidR="00E60D29" w:rsidRPr="00E60D29">
        <w:rPr>
          <w:rtl/>
        </w:rPr>
        <w:t xml:space="preserve"> </w:t>
      </w:r>
      <w:r w:rsidR="00E60D29" w:rsidRPr="00E60D29">
        <w:rPr>
          <w:rFonts w:hint="cs"/>
          <w:rtl/>
        </w:rPr>
        <w:t>لِلْمُنْفَلِتِ</w:t>
      </w:r>
      <w:r w:rsidR="00E60D29">
        <w:rPr>
          <w:rFonts w:hint="cs"/>
          <w:rtl/>
        </w:rPr>
        <w:t>" (حزقيال 24: 27). فإن هذا الطابع النبوي مرتبط بالأمثال التي في عدد 13. والطابع النبوي الآخر يقوم على استعلان سرائر الملكوت من خلال هذه الغوامض للمتبقين، الذين سيفهمون عند استعلان روح المسيح، على قدر هذا الإعلان: "</w:t>
      </w:r>
      <w:r w:rsidR="00E60D29" w:rsidRPr="00E60D29">
        <w:rPr>
          <w:rtl/>
        </w:rPr>
        <w:t>«قَدْ أُعْطِيَ لَكُمْ أَنْ تَعْرِفُوا</w:t>
      </w:r>
      <w:r w:rsidR="00E60D29">
        <w:rPr>
          <w:rFonts w:hint="cs"/>
          <w:rtl/>
        </w:rPr>
        <w:t>" (مرقس 4: 11). وهذا تم توضيحه في مزمور 78 وتم ذكره في عدد 35. انتب</w:t>
      </w:r>
      <w:r w:rsidR="001F4EAF">
        <w:rPr>
          <w:rFonts w:hint="cs"/>
          <w:rtl/>
        </w:rPr>
        <w:t>ه</w:t>
      </w:r>
      <w:r w:rsidR="00E60D29">
        <w:rPr>
          <w:rFonts w:hint="cs"/>
          <w:rtl/>
        </w:rPr>
        <w:t xml:space="preserve"> هنا، بأن الرب يتعامل في قضائه على قدر العمى،</w:t>
      </w:r>
      <w:r w:rsidR="00613CF2">
        <w:rPr>
          <w:rFonts w:hint="cs"/>
          <w:rtl/>
        </w:rPr>
        <w:t xml:space="preserve"> كتعامله على قدر النور، </w:t>
      </w:r>
      <w:r w:rsidR="001F4EAF">
        <w:rPr>
          <w:rFonts w:hint="cs"/>
          <w:rtl/>
        </w:rPr>
        <w:t xml:space="preserve">في أنه يقدّم شرحًا أوفر </w:t>
      </w:r>
      <w:r w:rsidR="001F4EAF">
        <w:rPr>
          <w:rtl/>
        </w:rPr>
        <w:t>–</w:t>
      </w:r>
      <w:r w:rsidR="001F4EAF">
        <w:rPr>
          <w:rFonts w:hint="cs"/>
          <w:rtl/>
        </w:rPr>
        <w:t xml:space="preserve"> شرحًا رهيبًا جدًا ولكنه مؤكّد.</w:t>
      </w:r>
    </w:p>
    <w:p w14:paraId="344B7FD2" w14:textId="6DBDB48B" w:rsidR="001F4EAF" w:rsidRDefault="001F4EAF" w:rsidP="00B45F8E">
      <w:pPr>
        <w:rPr>
          <w:rtl/>
        </w:rPr>
      </w:pPr>
      <w:r>
        <w:rPr>
          <w:rFonts w:hint="cs"/>
          <w:rtl/>
        </w:rPr>
        <w:t xml:space="preserve">وبهذا نحن نرى طابع كل الإصحاح </w:t>
      </w:r>
      <w:r>
        <w:rPr>
          <w:rtl/>
        </w:rPr>
        <w:t>–</w:t>
      </w:r>
      <w:r>
        <w:rPr>
          <w:rFonts w:hint="cs"/>
          <w:rtl/>
        </w:rPr>
        <w:t xml:space="preserve"> أي شهادة المسيح النبوية عن رفض اليهود لكلمته: ترتيب الملكوت الإلهي في أثناء غياب ابن الإنسان على أساس رفضه وتولي عرشه، وممارسة السلطان بين يدي ابن الإنسان مع المشهد الختامي لهذا الترتيب، وقَبول الأبرار في ملكوت الآب في سطوع "الشمس" (أي المسيح بذاته)؛ تطهير ملكوت ابن الإنسان، الحقل، الذي نما فيه الزوان؛ البلاغ عن التميز الداخلي للملكوت وقيمته كما وأيضًا جماله (جمع الأخيار أولاً في أوعية) والقضاء على الكنيسة الظاهرة، الشبكة التي جُذبت ممتلئة من البحر.</w:t>
      </w:r>
    </w:p>
    <w:p w14:paraId="7D9535CE" w14:textId="149675C7" w:rsidR="001F4EAF" w:rsidRDefault="001F4EAF" w:rsidP="00B45F8E">
      <w:pPr>
        <w:rPr>
          <w:rtl/>
        </w:rPr>
      </w:pPr>
      <w:r>
        <w:rPr>
          <w:rFonts w:hint="cs"/>
          <w:rtl/>
        </w:rPr>
        <w:t>والآن أود بأن أدخل في تسلسل الأمثال أو الأقوال النبوية</w:t>
      </w:r>
      <w:r w:rsidR="00332047">
        <w:rPr>
          <w:rFonts w:hint="cs"/>
          <w:rtl/>
        </w:rPr>
        <w:t xml:space="preserve"> في حد ذاتها. وأولها كما لاحظت، هو ليس مثل مطلقًا عن الملكوت، وإنما عن زرع البذار الذي به تحققت خدمته: مثل عام، الآنية العامة، ولذا تم ذكره قبل عمى اليهود الروحي وليس كمثل عن ملكوت السموات، وإنما ككلمة الملكوت وُصف تأثيرها أو معوقاتها في أجمل صورة وغنية بالبركة. </w:t>
      </w:r>
    </w:p>
    <w:p w14:paraId="53843DBD" w14:textId="21733008" w:rsidR="00332047" w:rsidRDefault="00332047" w:rsidP="00B45F8E">
      <w:pPr>
        <w:rPr>
          <w:rtl/>
        </w:rPr>
      </w:pPr>
      <w:r>
        <w:rPr>
          <w:rFonts w:hint="cs"/>
          <w:rtl/>
        </w:rPr>
        <w:t xml:space="preserve">فالأمثال الستة التي تليها هي أمثال عن ملكوت السموات، ولكن هنالك فارق واضح بينها. فشرح الستة الأولى والأمثال الثلاثة الأخيرة موجهة إلى التلاميذ فقط؛ فالثلاثة الأولى موجهة إليهم وللجموع عامة. الثلاثة الأولى تحتوي على مكانة الملكوت المرئية </w:t>
      </w:r>
      <w:r w:rsidR="001F4842">
        <w:rPr>
          <w:rFonts w:hint="cs"/>
          <w:rtl/>
        </w:rPr>
        <w:t>وعلى نتيجة الملكوت في العالم، واللتان على نحو ما لم يكن هنالك أي علم عنهما، أو كان من الممكن أن توجّه إليهم.</w:t>
      </w:r>
      <w:r w:rsidR="00943371">
        <w:rPr>
          <w:rFonts w:hint="cs"/>
          <w:rtl/>
        </w:rPr>
        <w:t xml:space="preserve"> والثلاثة الأخيرة وشرحها ليست هي النتيجة في كامل صورتها الواضحة، النتيجة بين يدي الله أو طابع ملكوت الله الباطني وقيمته كما هو وارد في أفكار الروح، الذي يطوّر أفكار الرب. وهذا وُجّه بصورة خاصة للتلاميذ.</w:t>
      </w:r>
    </w:p>
    <w:p w14:paraId="317E1E92" w14:textId="465F8334" w:rsidR="00EB4497" w:rsidRDefault="00EB4497" w:rsidP="00B45F8E">
      <w:pPr>
        <w:rPr>
          <w:rtl/>
        </w:rPr>
      </w:pPr>
      <w:r>
        <w:rPr>
          <w:rFonts w:hint="cs"/>
          <w:rtl/>
        </w:rPr>
        <w:t xml:space="preserve">كما وأود أيضًا بأن ألفت الانتباه، بأنه، إذ أن الثلاثة الأولى هي ملكوت الله كما يظهر في العالم، والثلاثة الأخيرة، كما هو معروف في أفكار الله، فالتناقض بينها أوضح من ذلك. </w:t>
      </w:r>
      <w:r w:rsidR="00BD2021">
        <w:rPr>
          <w:rFonts w:hint="cs"/>
          <w:rtl/>
        </w:rPr>
        <w:t>فالأولى هو نشر الزرع في العالم، والأخير هو عملية فصل الشبكة التي امتلأت فعلاً (الجموع التي تم جمعها من البحر)، والتي الآن قد تم جذبها إلى اليابسة. فالمثلان وسط الأمثال الثلاثة الأولى هما من جانب واحد التنظيم الظاهري اللذان بهما ينمو الملكوت في العالم، ومن الجانب الآخر نشر التعليم بين الجمع الذي أشار إليهم الرب بالخمير، والذي سيُشرَح معناه في مكان آخر. المثلان وسط الثلاثة الأخيرة هما من جانب واحد بالنسبة لقيمة الكنز المخفى في الحقل، مجد</w:t>
      </w:r>
      <w:r w:rsidR="00F8224D">
        <w:rPr>
          <w:rFonts w:hint="cs"/>
          <w:rtl/>
        </w:rPr>
        <w:t>ُ</w:t>
      </w:r>
      <w:r w:rsidR="00BD2021">
        <w:rPr>
          <w:rFonts w:hint="cs"/>
          <w:rtl/>
        </w:rPr>
        <w:t xml:space="preserve"> الكنيسة الحقيقي، كما من الممكن إدراكه من فهم الرب ومعرفته، مع أنه لم يتم ظهوره بعد</w:t>
      </w:r>
      <w:r w:rsidR="00C87EF2">
        <w:rPr>
          <w:rFonts w:hint="cs"/>
          <w:rtl/>
        </w:rPr>
        <w:t>، والتي كان مستعدًا بأن يشتري الحقل لأجلها. تقبُّل العالم في حالته الحاضرة التي لا قيمة لها. فتطبيق هذا الأمر هام إلى أقصى الحدود. والجانب الآخر هو جمال نعمته الأخلاقية في عيني الله التي تطابق فهم التاجر في بحثه عن اللآلئ الجميلة، تقدير النعمة في الكنيسة من خلال المسيح وروح المسيح. وأعتقد كذلك، بأن أول الاثنان اللذان تم ذكرهما أولاً يتطابق مع أول الإثنين اللذان تم ذكرهما أخيرًا أو أنهما على نحو نقيض، كما هو الحال مع ثاني ما ذُكر أخيرًا. المثل الأخير يعلن بشكل واضح عن العملية القضائية للسمك الذي تم جمعه إلى اليابسة</w:t>
      </w:r>
      <w:r w:rsidR="00FB6AB9">
        <w:rPr>
          <w:rFonts w:hint="cs"/>
          <w:rtl/>
        </w:rPr>
        <w:t xml:space="preserve"> (بفصل الأخيار والدينونة بعد ذلك)</w:t>
      </w:r>
      <w:r w:rsidR="00F8224D">
        <w:rPr>
          <w:rFonts w:hint="cs"/>
          <w:rtl/>
        </w:rPr>
        <w:t>، وهي مسألة تختلف بشكل جدًا واضح عن دينونته للعالم.</w:t>
      </w:r>
    </w:p>
    <w:p w14:paraId="0616AB31" w14:textId="1C9FA05D" w:rsidR="00F8224D" w:rsidRPr="001B6848" w:rsidRDefault="00F8224D" w:rsidP="00B45F8E">
      <w:r>
        <w:rPr>
          <w:rFonts w:hint="cs"/>
          <w:rtl/>
        </w:rPr>
        <w:t xml:space="preserve">إني أعتقد بأني بهذا قد رسمت بتدقيق خطوط تسلسل الأمثال ومبناها بشكل واضح. وما يتبقى الآن هو محاولة </w:t>
      </w:r>
      <w:r w:rsidR="00812F9C">
        <w:rPr>
          <w:rFonts w:hint="cs"/>
          <w:rtl/>
        </w:rPr>
        <w:t>منحها معناها التطبيقي. وس</w:t>
      </w:r>
      <w:r w:rsidR="00A6327C">
        <w:rPr>
          <w:rFonts w:hint="cs"/>
          <w:rtl/>
        </w:rPr>
        <w:t>و</w:t>
      </w:r>
      <w:r w:rsidR="00812F9C">
        <w:rPr>
          <w:rFonts w:hint="cs"/>
          <w:rtl/>
        </w:rPr>
        <w:t xml:space="preserve">ف أتطرق فقط إلى التي لا تشابه ملكوت السموات، وذلك في نقاط مقتضبة فقط. في الأولى نحن لدينا شرح الرب بذاته، والتي لا أريد إلا بأن أشير إلى قوة مفاهيمها البسيطة، التي لا بد وأن يسلّط روح الله النور عليها كيما يتسنى لنا فهم "كلمة الملكوت". إننا قد رأينا عامة، بأن الثلاثة الأولى تصف المكانة أو طابع الملكوت في العالم. وبالتالي لدينا هنا "الحقل هو العالم" ولا شيء غير ذلك؛ كما وعملية القضاء تُشير إلى حكم القضاء على الكنيسة الاسمية، والذي نجده لاحقًا في المثل الأخير. فالمسيح زرع بذار الملكوت الجيدة في العالم؛ وإبليس زرع الزوان بينه بكيد وخداع، بينما كان الناس نيام، "وهم أناس محددين"، "كانوا مُعَدّين من قبل لهذه الدينونة" (يهوذا 4). فسلطة الإبادة (أي من العالم) لم تُعطَ للكنيسة، لخادمي بيت الرب: فلا بد وأن </w:t>
      </w:r>
      <w:r w:rsidR="00A6327C">
        <w:rPr>
          <w:rFonts w:hint="cs"/>
          <w:rtl/>
        </w:rPr>
        <w:t>ينميا</w:t>
      </w:r>
      <w:r w:rsidR="00812F9C">
        <w:rPr>
          <w:rFonts w:hint="cs"/>
          <w:rtl/>
        </w:rPr>
        <w:t xml:space="preserve"> كلاهما معًا إلى وقت الحصاد (متى 13: 30). </w:t>
      </w:r>
      <w:r w:rsidR="0069265A">
        <w:rPr>
          <w:rFonts w:hint="cs"/>
          <w:rtl/>
        </w:rPr>
        <w:t>فلم تكن بالتالي أية خدمة للمسيح بقتل مُضِل؛ فقد كان من الممكن أن تعاقب يد خادم قاسية مؤمنًا بمحاولته الحفاظ على نقاء الحصاد بأن يفعل ما مُنع عن أيادي أخرى فعله. فبلوغهما النضج كان هو العملية الحاضرة، فقد نميا معًا في العالم. فالكنيسة لن تصير أبدًا نظامًا لتنقية العالم أو لإصلاحه. فعناية السلطة الإلهية في خدمة الابن من خلال ملائكته</w:t>
      </w:r>
      <w:r w:rsidR="0069265A">
        <w:rPr>
          <w:rStyle w:val="FootnoteReference"/>
          <w:rtl/>
        </w:rPr>
        <w:footnoteReference w:id="7"/>
      </w:r>
      <w:r w:rsidR="0069265A">
        <w:rPr>
          <w:rFonts w:hint="cs"/>
          <w:rtl/>
        </w:rPr>
        <w:t xml:space="preserve">، هي التي ستقلعه من ملكوته بحُزمٍ، في حقل العالم، الزوان الذي مصيره الحريق؛ ومن ثم سيضيء الأبرار كالشمس، ليس في ملكوت الابن، وليس في ملكوت ابن الإنسان، وإنما في ملكوت الآب. باختصار، </w:t>
      </w:r>
      <w:r w:rsidR="006C2F84">
        <w:rPr>
          <w:rFonts w:hint="cs"/>
          <w:rtl/>
        </w:rPr>
        <w:t>ما لدينا هو تطهير العالم، الحقل، بتدخل إلهي، بواسطة عملية قضائية بين يدي ابن الإنسان، الذي سيُرسل ملائكته. فأبرار الملكوت، أي الذين كانوا أبرارًا، بينما كان العالم في شره، سيكونون كالشمس. إننا نعرف مَن هو "شمس البِرّ" (ملاخي 3: 20)، و "</w:t>
      </w:r>
      <w:r w:rsidR="006C2F84" w:rsidRPr="006C2F84">
        <w:rPr>
          <w:rtl/>
        </w:rPr>
        <w:t>وَلكِنْ نَعْلَمُ أَنَّهُ إِذَا أُظْهِرَ نَكُونُ مِثْلَهُ، لأَنَّنَا سَنَرَاهُ كَمَا هُوَ.</w:t>
      </w:r>
      <w:r w:rsidR="006C2F84">
        <w:rPr>
          <w:rFonts w:hint="cs"/>
          <w:rtl/>
        </w:rPr>
        <w:t>" (1. يوحنا 3: 2). ولكن هذا في ملكوت أبيهم. ولذا نحن لا نعلم ما</w:t>
      </w:r>
      <w:r w:rsidR="0069265A">
        <w:rPr>
          <w:rFonts w:hint="cs"/>
          <w:rtl/>
        </w:rPr>
        <w:t xml:space="preserve"> </w:t>
      </w:r>
      <w:r w:rsidR="006C2F84">
        <w:rPr>
          <w:rFonts w:hint="cs"/>
          <w:rtl/>
        </w:rPr>
        <w:t xml:space="preserve">قد حدث في ملكوت ابن الإنسان إلا فقط بأنه جمع منه جميع الذين أخطأوا وبأن ملكوت عالم ربنا ومسيحه الأرضي قد جاء (رؤيا 11: 15)؛ لكن هذا لم يكن موضوع مثلٍ عن ملكوت السموات. فهذا النظام المختلط والمتعدد المعالم أصبح </w:t>
      </w:r>
      <w:r w:rsidR="00766956">
        <w:rPr>
          <w:rFonts w:hint="cs"/>
          <w:rtl/>
        </w:rPr>
        <w:t xml:space="preserve">بفصل ملكوت مجد الآب لمدح مجد نعمته من خلال ما قد مضى، ولمجده الذي سيُستعلن بعد (قارن أفسس 1: 6 </w:t>
      </w:r>
      <w:r w:rsidR="00766956">
        <w:rPr>
          <w:rtl/>
        </w:rPr>
        <w:t>–</w:t>
      </w:r>
      <w:r w:rsidR="00766956">
        <w:rPr>
          <w:rFonts w:hint="cs"/>
          <w:rtl/>
        </w:rPr>
        <w:t xml:space="preserve"> 12) ولملكوت ابن الإنسان، الذي قد تطهر الآن </w:t>
      </w:r>
      <w:hyperlink r:id="rId8" w:tooltip="eingeführt wurde, von dem wir aus anderen Quellen wissen, " w:history="1">
        <w:r w:rsidR="00766956" w:rsidRPr="00766956">
          <w:rPr>
            <w:rStyle w:val="Hyperlink"/>
            <w:rFonts w:hint="cs"/>
            <w:rtl/>
          </w:rPr>
          <w:t>قضائيًا</w:t>
        </w:r>
      </w:hyperlink>
    </w:p>
    <w:sectPr w:rsidR="00F8224D" w:rsidRPr="001B6848" w:rsidSect="008341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BCE5D" w14:textId="77777777" w:rsidR="00FF0BB6" w:rsidRDefault="00FF0BB6" w:rsidP="002C13C5">
      <w:pPr>
        <w:spacing w:after="0" w:line="240" w:lineRule="auto"/>
      </w:pPr>
      <w:r>
        <w:separator/>
      </w:r>
    </w:p>
  </w:endnote>
  <w:endnote w:type="continuationSeparator" w:id="0">
    <w:p w14:paraId="30921AA4" w14:textId="77777777" w:rsidR="00FF0BB6" w:rsidRDefault="00FF0BB6" w:rsidP="002C1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6193D" w14:textId="77777777" w:rsidR="00FF0BB6" w:rsidRDefault="00FF0BB6" w:rsidP="002C13C5">
      <w:pPr>
        <w:spacing w:after="0" w:line="240" w:lineRule="auto"/>
      </w:pPr>
      <w:r>
        <w:separator/>
      </w:r>
    </w:p>
  </w:footnote>
  <w:footnote w:type="continuationSeparator" w:id="0">
    <w:p w14:paraId="7EC79229" w14:textId="77777777" w:rsidR="00FF0BB6" w:rsidRDefault="00FF0BB6" w:rsidP="002C13C5">
      <w:pPr>
        <w:spacing w:after="0" w:line="240" w:lineRule="auto"/>
      </w:pPr>
      <w:r>
        <w:continuationSeparator/>
      </w:r>
    </w:p>
  </w:footnote>
  <w:footnote w:id="1">
    <w:p w14:paraId="17D07EA0" w14:textId="7EECBB77" w:rsidR="002C13C5" w:rsidRPr="002C13C5" w:rsidRDefault="002C13C5" w:rsidP="002B1B8D">
      <w:pPr>
        <w:pStyle w:val="FootnoteText"/>
        <w:rPr>
          <w:b/>
          <w:bCs/>
          <w:sz w:val="26"/>
          <w:szCs w:val="26"/>
        </w:rPr>
      </w:pPr>
      <w:r>
        <w:rPr>
          <w:rStyle w:val="FootnoteReference"/>
        </w:rPr>
        <w:footnoteRef/>
      </w:r>
      <w:r>
        <w:rPr>
          <w:rtl/>
        </w:rPr>
        <w:t xml:space="preserve"> </w:t>
      </w:r>
      <w:r w:rsidR="002B1B8D">
        <w:rPr>
          <w:rFonts w:hint="cs"/>
          <w:b/>
          <w:bCs/>
          <w:sz w:val="26"/>
          <w:szCs w:val="26"/>
          <w:rtl/>
        </w:rPr>
        <w:t xml:space="preserve">هذا المقال كان قد صدر لأول مرة عام 1834. ولاحقًا نقحه ويليام كيلي ونشره عام 1866 في المجلد الثاني من تجميعة الكتابات (انظر </w:t>
      </w:r>
      <w:r w:rsidR="002B1B8D" w:rsidRPr="002B1B8D">
        <w:rPr>
          <w:b/>
          <w:bCs/>
          <w:sz w:val="26"/>
          <w:szCs w:val="26"/>
        </w:rPr>
        <w:t>Craw ford Gribben</w:t>
      </w:r>
      <w:r w:rsidR="002B1B8D">
        <w:rPr>
          <w:rFonts w:hint="cs"/>
          <w:b/>
          <w:bCs/>
          <w:sz w:val="26"/>
          <w:szCs w:val="26"/>
          <w:rtl/>
        </w:rPr>
        <w:t>، داربي وجذور النظام التدبيري، صفحة 269)</w:t>
      </w:r>
    </w:p>
  </w:footnote>
  <w:footnote w:id="2">
    <w:p w14:paraId="31287A96" w14:textId="084E4B6D" w:rsidR="00634C10" w:rsidRPr="00634C10" w:rsidRDefault="00634C10">
      <w:pPr>
        <w:pStyle w:val="FootnoteText"/>
        <w:rPr>
          <w:b/>
          <w:bCs/>
          <w:sz w:val="26"/>
          <w:szCs w:val="26"/>
          <w:rtl/>
        </w:rPr>
      </w:pPr>
      <w:r>
        <w:rPr>
          <w:rStyle w:val="FootnoteReference"/>
        </w:rPr>
        <w:footnoteRef/>
      </w:r>
      <w:r>
        <w:rPr>
          <w:rtl/>
        </w:rPr>
        <w:t xml:space="preserve"> </w:t>
      </w:r>
      <w:r>
        <w:rPr>
          <w:rFonts w:hint="cs"/>
          <w:b/>
          <w:bCs/>
          <w:sz w:val="26"/>
          <w:szCs w:val="26"/>
          <w:rtl/>
        </w:rPr>
        <w:t xml:space="preserve">إني أود بأن أنوه في هذه العبارة بأننا نتعلم </w:t>
      </w:r>
      <w:r w:rsidR="00901904">
        <w:rPr>
          <w:rFonts w:hint="cs"/>
          <w:b/>
          <w:bCs/>
          <w:sz w:val="26"/>
          <w:szCs w:val="26"/>
          <w:rtl/>
        </w:rPr>
        <w:t>الحفاظ</w:t>
      </w:r>
      <w:r>
        <w:rPr>
          <w:rFonts w:hint="cs"/>
          <w:b/>
          <w:bCs/>
          <w:sz w:val="26"/>
          <w:szCs w:val="26"/>
          <w:rtl/>
        </w:rPr>
        <w:t xml:space="preserve"> على </w:t>
      </w:r>
      <w:r w:rsidR="00901904">
        <w:rPr>
          <w:rFonts w:hint="cs"/>
          <w:b/>
          <w:bCs/>
          <w:sz w:val="26"/>
          <w:szCs w:val="26"/>
          <w:rtl/>
        </w:rPr>
        <w:t>القيمة المستمرة</w:t>
      </w:r>
      <w:r>
        <w:rPr>
          <w:rFonts w:hint="cs"/>
          <w:b/>
          <w:bCs/>
          <w:sz w:val="26"/>
          <w:szCs w:val="26"/>
          <w:rtl/>
        </w:rPr>
        <w:t xml:space="preserve"> </w:t>
      </w:r>
      <w:r w:rsidR="00901904">
        <w:rPr>
          <w:rFonts w:hint="cs"/>
          <w:b/>
          <w:bCs/>
          <w:sz w:val="26"/>
          <w:szCs w:val="26"/>
          <w:rtl/>
        </w:rPr>
        <w:t>ل</w:t>
      </w:r>
      <w:r>
        <w:rPr>
          <w:rFonts w:hint="cs"/>
          <w:b/>
          <w:bCs/>
          <w:sz w:val="26"/>
          <w:szCs w:val="26"/>
          <w:rtl/>
        </w:rPr>
        <w:t>لمنتظ</w:t>
      </w:r>
      <w:r w:rsidR="00901904">
        <w:rPr>
          <w:rFonts w:hint="cs"/>
          <w:b/>
          <w:bCs/>
          <w:sz w:val="26"/>
          <w:szCs w:val="26"/>
          <w:rtl/>
        </w:rPr>
        <w:t>ً</w:t>
      </w:r>
      <w:r>
        <w:rPr>
          <w:rFonts w:hint="cs"/>
          <w:b/>
          <w:bCs/>
          <w:sz w:val="26"/>
          <w:szCs w:val="26"/>
          <w:rtl/>
        </w:rPr>
        <w:t>ر النبوي اليهودي</w:t>
      </w:r>
      <w:r w:rsidR="00254B34">
        <w:rPr>
          <w:rFonts w:hint="cs"/>
          <w:b/>
          <w:bCs/>
          <w:sz w:val="26"/>
          <w:szCs w:val="26"/>
          <w:rtl/>
        </w:rPr>
        <w:t>، كل ما كان سيرافق الكتبة في شريعة موسى في العد القديم، وذلك بالانفصال عن المتوقع الذي قد أُدرج من خلال الإنجيل.</w:t>
      </w:r>
    </w:p>
  </w:footnote>
  <w:footnote w:id="3">
    <w:p w14:paraId="2E4D0BB1" w14:textId="30CBDC87" w:rsidR="00E638E5" w:rsidRPr="00BA60FC" w:rsidRDefault="00E638E5">
      <w:pPr>
        <w:pStyle w:val="FootnoteText"/>
        <w:rPr>
          <w:b/>
          <w:bCs/>
          <w:sz w:val="26"/>
          <w:szCs w:val="26"/>
        </w:rPr>
      </w:pPr>
      <w:r>
        <w:rPr>
          <w:rStyle w:val="FootnoteReference"/>
        </w:rPr>
        <w:footnoteRef/>
      </w:r>
      <w:r>
        <w:rPr>
          <w:rtl/>
        </w:rPr>
        <w:t xml:space="preserve"> </w:t>
      </w:r>
      <w:r w:rsidR="00BA60FC">
        <w:rPr>
          <w:rFonts w:hint="cs"/>
          <w:b/>
          <w:bCs/>
          <w:sz w:val="26"/>
          <w:szCs w:val="26"/>
          <w:rtl/>
        </w:rPr>
        <w:t>"ملكوت الله" هي عبارة أخرى تختلف عن "ملكوت السموات"، مع أنه يُعرّف في مفاهيم متعددة، بأنه يُقال عنه بأنه ذاته. فمن الممكن القول بأن ملكوت الله كان قريبًا. وهذا كان في غاية الصحة؛ كما ومن الممكن القول بأن ملكوت سماء الملكوت كان قريبًا؛ ولكن في الوقت ذاته لكليهما معنى مختلف عن الآخر؛ لأنها كانت مسألة إيمان، بأن يُعلَم بأن "ملكوت الله كان قد جاء وسطهم" (أنظر لوقا 11: 20؛ 17: 21). فالرب يستخدم عبارات لن تُستخدم أبدًا لملكوت السموات</w:t>
      </w:r>
      <w:r w:rsidR="00FE2C63">
        <w:rPr>
          <w:rFonts w:hint="cs"/>
          <w:b/>
          <w:bCs/>
          <w:sz w:val="26"/>
          <w:szCs w:val="26"/>
          <w:rtl/>
        </w:rPr>
        <w:t xml:space="preserve"> </w:t>
      </w:r>
      <w:r w:rsidR="00FE2C63">
        <w:rPr>
          <w:b/>
          <w:bCs/>
          <w:sz w:val="26"/>
          <w:szCs w:val="26"/>
          <w:rtl/>
        </w:rPr>
        <w:t>–</w:t>
      </w:r>
      <w:r w:rsidR="00FE2C63">
        <w:rPr>
          <w:rFonts w:hint="cs"/>
          <w:b/>
          <w:bCs/>
          <w:sz w:val="26"/>
          <w:szCs w:val="26"/>
          <w:rtl/>
        </w:rPr>
        <w:t xml:space="preserve"> لكي يُعلَم، بأن ملكوت السموات لم يكن وإنما "كان قريبًا" (متى 4: 17)؛ بينما نفس كاتب الإنجيل أو بالحري روح الله من خلاله، عند تكلمه عن ملكوت الله، في الحال يغيّر إلى العبارة التي نجدها في لوقا (متى 12: 28).</w:t>
      </w:r>
      <w:r w:rsidR="000B2EC6">
        <w:rPr>
          <w:rFonts w:hint="cs"/>
          <w:b/>
          <w:bCs/>
          <w:sz w:val="26"/>
          <w:szCs w:val="26"/>
          <w:rtl/>
        </w:rPr>
        <w:t xml:space="preserve">. فملكوت الله كان هناك حصريًا، حينما كان ابن الله حاضرًا </w:t>
      </w:r>
      <w:r w:rsidR="000B2EC6">
        <w:rPr>
          <w:b/>
          <w:bCs/>
          <w:sz w:val="26"/>
          <w:szCs w:val="26"/>
          <w:rtl/>
        </w:rPr>
        <w:t>–</w:t>
      </w:r>
      <w:r w:rsidR="000B2EC6">
        <w:rPr>
          <w:rFonts w:hint="cs"/>
          <w:b/>
          <w:bCs/>
          <w:sz w:val="26"/>
          <w:szCs w:val="26"/>
          <w:rtl/>
        </w:rPr>
        <w:t xml:space="preserve"> باختصار، حينما كان الله </w:t>
      </w:r>
      <w:r w:rsidR="000B2EC6" w:rsidRPr="00A77A16">
        <w:rPr>
          <w:b/>
          <w:bCs/>
          <w:sz w:val="26"/>
          <w:szCs w:val="26"/>
          <w:rtl/>
        </w:rPr>
        <w:t>حاضرًا</w:t>
      </w:r>
      <w:r w:rsidR="000B2EC6">
        <w:rPr>
          <w:rFonts w:hint="cs"/>
          <w:b/>
          <w:bCs/>
          <w:sz w:val="26"/>
          <w:szCs w:val="26"/>
          <w:rtl/>
        </w:rPr>
        <w:t>.</w:t>
      </w:r>
      <w:r w:rsidR="00A77A16">
        <w:rPr>
          <w:rFonts w:hint="cs"/>
          <w:b/>
          <w:bCs/>
          <w:sz w:val="26"/>
          <w:szCs w:val="26"/>
          <w:rtl/>
        </w:rPr>
        <w:t xml:space="preserve"> فملكوت السموات كأمر يحققه القصد الإلهي لم يكن من الممكن أن يكون حاضرًا طالما أنه كان هنا؛ فلقد ظهر بمضي الرب إلى السماء. إن ملكوت الله هو ممارسة أو إعلان سلطة الله الحاكمة في كل الظروف في حكمة الله. إن ملكوت السموات هو ملكوت الله في طابعه السماوي. في زمن الخلاص سيُقام برفض العالمِ لملِك ملكوت الله؛ ومع أنه كان يجب الإقرار به بالإيمان (وحتى متى ما كان على الأرض)، يُعرّف به للإيمان بيسوع الرأس، الخروف المذبوح، الجالس على عرش الآب. فملكوت الله كان إذًا بين اليهود، حينما كان ابن الإنسان حاضرًا هناك </w:t>
      </w:r>
      <w:r w:rsidR="00A77A16">
        <w:rPr>
          <w:b/>
          <w:bCs/>
          <w:sz w:val="26"/>
          <w:szCs w:val="26"/>
          <w:rtl/>
        </w:rPr>
        <w:t>–</w:t>
      </w:r>
      <w:r w:rsidR="00A77A16">
        <w:rPr>
          <w:rFonts w:hint="cs"/>
          <w:b/>
          <w:bCs/>
          <w:sz w:val="26"/>
          <w:szCs w:val="26"/>
          <w:rtl/>
        </w:rPr>
        <w:t xml:space="preserve"> وكان عليهم أن يدركوا ويلاحظوا ذلك -، </w:t>
      </w:r>
      <w:r w:rsidR="005C42A5">
        <w:rPr>
          <w:rFonts w:hint="cs"/>
          <w:b/>
          <w:bCs/>
          <w:sz w:val="26"/>
          <w:szCs w:val="26"/>
          <w:rtl/>
        </w:rPr>
        <w:t>وملكوت السموات كان قريبًا. ولكن لأجل عالمية البشر، بدلاً من ضم الأمم إلى اليهود، عُرف المسيا، مع أنه كان قد عُرف، فقط من خلال الرفض لشخصه (كما كان قد سبق وتحدد في قصد الله وحكمته) وصعود ابن الإنسان للمجد (في الموضع، "</w:t>
      </w:r>
      <w:r w:rsidR="005C42A5" w:rsidRPr="005C42A5">
        <w:rPr>
          <w:b/>
          <w:bCs/>
          <w:sz w:val="26"/>
          <w:szCs w:val="26"/>
          <w:rtl/>
        </w:rPr>
        <w:t xml:space="preserve"> إِلَى حَيْثُ كَانَ أَوَّلاً</w:t>
      </w:r>
      <w:r w:rsidR="005C42A5" w:rsidRPr="005C42A5">
        <w:rPr>
          <w:rFonts w:hint="cs"/>
          <w:b/>
          <w:bCs/>
          <w:sz w:val="26"/>
          <w:szCs w:val="26"/>
          <w:rtl/>
        </w:rPr>
        <w:t xml:space="preserve"> </w:t>
      </w:r>
      <w:r w:rsidR="005C42A5">
        <w:rPr>
          <w:rFonts w:hint="cs"/>
          <w:b/>
          <w:bCs/>
          <w:sz w:val="26"/>
          <w:szCs w:val="26"/>
          <w:rtl/>
        </w:rPr>
        <w:t xml:space="preserve">")، الذي كان الرب من السماء وابن الإنسان في السماء. إن ملكوت السموات (ملكوته لم يكن من هذا العالم) نشأ وقام، فيما يتعلق بالكنيسة، إلى ميعاد قيامة القديسين في ملكوت الآب عند مجيء يسوع الثاني واختبارهم سعادة حُكم ابن الله وابن الإنسان في كل العالم، الذي كان قد رفضه في القديم وقد أصبح الآن خاضعًا </w:t>
      </w:r>
      <w:r w:rsidR="007C2B45">
        <w:rPr>
          <w:rFonts w:hint="cs"/>
          <w:b/>
          <w:bCs/>
          <w:sz w:val="26"/>
          <w:szCs w:val="26"/>
          <w:rtl/>
        </w:rPr>
        <w:t xml:space="preserve">لرياسته (وفي هذا المفهوم ملكوت السموات لا زال للذين هم تحت)، عند اختبارهم سعادة الرياسة السماوية، بينما يسكنون "ملوكًا وكهنة لله" في ملء غنى بيت الآب الهادئ والمكفول </w:t>
      </w:r>
      <w:r w:rsidR="007C2B45">
        <w:rPr>
          <w:b/>
          <w:bCs/>
          <w:sz w:val="26"/>
          <w:szCs w:val="26"/>
          <w:rtl/>
        </w:rPr>
        <w:t>–</w:t>
      </w:r>
      <w:r w:rsidR="007C2B45">
        <w:rPr>
          <w:rFonts w:hint="cs"/>
          <w:b/>
          <w:bCs/>
          <w:sz w:val="26"/>
          <w:szCs w:val="26"/>
          <w:rtl/>
        </w:rPr>
        <w:t xml:space="preserve"> أبناء معه. وهذا أيضًا جوهريًا ملكوت الإنسان (قارن دانيال 7)؛ لأنه كل الأشياء تكون خاضعة للإنسان الممجّد ولقديسيه. فلو لم يُرفَض يسوع لكان قد </w:t>
      </w:r>
      <w:r w:rsidR="007670F1">
        <w:rPr>
          <w:rFonts w:hint="cs"/>
          <w:b/>
          <w:bCs/>
          <w:sz w:val="26"/>
          <w:szCs w:val="26"/>
          <w:rtl/>
        </w:rPr>
        <w:t>نشأ</w:t>
      </w:r>
      <w:r w:rsidR="007C2B45">
        <w:rPr>
          <w:rFonts w:hint="cs"/>
          <w:b/>
          <w:bCs/>
          <w:sz w:val="26"/>
          <w:szCs w:val="26"/>
          <w:rtl/>
        </w:rPr>
        <w:t xml:space="preserve"> ملكوت الله (في طابعه فهذا أمر مؤكد، لأنه هو الله، وإنه ملكوت الله)؛ فلكان </w:t>
      </w:r>
      <w:r w:rsidR="007670F1">
        <w:rPr>
          <w:rFonts w:hint="cs"/>
          <w:b/>
          <w:bCs/>
          <w:sz w:val="26"/>
          <w:szCs w:val="26"/>
          <w:rtl/>
        </w:rPr>
        <w:t>خاضعًا</w:t>
      </w:r>
      <w:r w:rsidR="007C2B45">
        <w:rPr>
          <w:rFonts w:hint="cs"/>
          <w:b/>
          <w:bCs/>
          <w:sz w:val="26"/>
          <w:szCs w:val="26"/>
          <w:rtl/>
        </w:rPr>
        <w:t xml:space="preserve"> بحق، "آخذًا صورة عبد" وقد جاء في هذه الصفة "لا ليفعل مشيئته، وإنما مشيئة الذي أرسله". وهكذا </w:t>
      </w:r>
      <w:r w:rsidR="007670F1">
        <w:rPr>
          <w:rFonts w:hint="cs"/>
          <w:b/>
          <w:bCs/>
          <w:sz w:val="26"/>
          <w:szCs w:val="26"/>
          <w:rtl/>
        </w:rPr>
        <w:t xml:space="preserve">أنا </w:t>
      </w:r>
      <w:r w:rsidR="007C2B45">
        <w:rPr>
          <w:rFonts w:hint="cs"/>
          <w:b/>
          <w:bCs/>
          <w:sz w:val="26"/>
          <w:szCs w:val="26"/>
          <w:rtl/>
        </w:rPr>
        <w:t>أعتقد، سيخضع الابن،</w:t>
      </w:r>
      <w:r w:rsidR="007670F1">
        <w:rPr>
          <w:rFonts w:hint="cs"/>
          <w:b/>
          <w:bCs/>
          <w:sz w:val="26"/>
          <w:szCs w:val="26"/>
          <w:rtl/>
        </w:rPr>
        <w:t xml:space="preserve"> عندما يكون الله </w:t>
      </w:r>
      <w:r w:rsidR="007670F1">
        <w:rPr>
          <w:b/>
          <w:bCs/>
          <w:sz w:val="26"/>
          <w:szCs w:val="26"/>
          <w:rtl/>
        </w:rPr>
        <w:t>–</w:t>
      </w:r>
      <w:r w:rsidR="007670F1">
        <w:rPr>
          <w:rFonts w:hint="cs"/>
          <w:b/>
          <w:bCs/>
          <w:sz w:val="26"/>
          <w:szCs w:val="26"/>
          <w:rtl/>
        </w:rPr>
        <w:t xml:space="preserve"> ليس الآب، ما لسوف يلخبط الأمور ولن يكون وفق الكلمة، وإنما "الله </w:t>
      </w:r>
      <w:r w:rsidR="007670F1">
        <w:rPr>
          <w:b/>
          <w:bCs/>
          <w:sz w:val="26"/>
          <w:szCs w:val="26"/>
          <w:rtl/>
        </w:rPr>
        <w:t>–</w:t>
      </w:r>
      <w:r w:rsidR="007670F1">
        <w:rPr>
          <w:rFonts w:hint="cs"/>
          <w:b/>
          <w:bCs/>
          <w:sz w:val="26"/>
          <w:szCs w:val="26"/>
          <w:rtl/>
        </w:rPr>
        <w:t xml:space="preserve"> الكل في الكل"، الآب، الابن والروح القدس؛ لكن الرياسة ستؤخذ من يد البشر، التي كانت قد وُضعت فيها بطاعة المسيح. لهذا قال من بعد القيامة فقط: "</w:t>
      </w:r>
      <w:r w:rsidR="007670F1" w:rsidRPr="007670F1">
        <w:rPr>
          <w:rtl/>
        </w:rPr>
        <w:t xml:space="preserve"> </w:t>
      </w:r>
      <w:r w:rsidR="007670F1" w:rsidRPr="007670F1">
        <w:rPr>
          <w:b/>
          <w:bCs/>
          <w:sz w:val="26"/>
          <w:szCs w:val="26"/>
          <w:rtl/>
        </w:rPr>
        <w:t>دُفِعَ إِلَيَّ كُلُّ سُلْطَانٍ فِي السَّمَاءِ وَعَلَى الأَرْضِ،</w:t>
      </w:r>
      <w:r w:rsidR="007670F1">
        <w:rPr>
          <w:rFonts w:hint="cs"/>
          <w:b/>
          <w:bCs/>
          <w:sz w:val="26"/>
          <w:szCs w:val="26"/>
          <w:rtl/>
        </w:rPr>
        <w:t xml:space="preserve">" إلخ. فكل الأشياء دُفعت له كابن الله، كالوارث لكل شيء، حيث </w:t>
      </w:r>
      <w:r w:rsidR="006978A7">
        <w:rPr>
          <w:rFonts w:hint="cs"/>
          <w:b/>
          <w:bCs/>
          <w:sz w:val="26"/>
          <w:szCs w:val="26"/>
          <w:rtl/>
        </w:rPr>
        <w:t xml:space="preserve">تتجمع كل الأشياء معًا. وهذا الميراث لم يدخله بعد. ولكن في الحاضر فقد دُفع له "كل سلطان" كالإنسان المُحدّد وفق السر البديع الذي تكفله كالابن، لمَن قد خُلقت كل الأشياء (وبه)، كالفادي في شخص يسوع؛ ولكن السلطان فقد دُفع له كالإنسان </w:t>
      </w:r>
      <w:r w:rsidR="00AA7A2D">
        <w:rPr>
          <w:rFonts w:hint="cs"/>
          <w:b/>
          <w:bCs/>
          <w:sz w:val="26"/>
          <w:szCs w:val="26"/>
          <w:rtl/>
        </w:rPr>
        <w:t>الذي أطاع</w:t>
      </w:r>
      <w:r w:rsidR="006978A7">
        <w:rPr>
          <w:rFonts w:hint="cs"/>
          <w:b/>
          <w:bCs/>
          <w:sz w:val="26"/>
          <w:szCs w:val="26"/>
          <w:rtl/>
        </w:rPr>
        <w:t>.</w:t>
      </w:r>
    </w:p>
  </w:footnote>
  <w:footnote w:id="4">
    <w:p w14:paraId="45DC23FB" w14:textId="79A10C7B" w:rsidR="00751484" w:rsidRDefault="00751484">
      <w:pPr>
        <w:pStyle w:val="FootnoteText"/>
        <w:rPr>
          <w:rtl/>
        </w:rPr>
      </w:pPr>
      <w:r>
        <w:rPr>
          <w:rStyle w:val="FootnoteReference"/>
        </w:rPr>
        <w:footnoteRef/>
      </w:r>
      <w:r>
        <w:rPr>
          <w:rtl/>
        </w:rPr>
        <w:t xml:space="preserve"> </w:t>
      </w:r>
    </w:p>
  </w:footnote>
  <w:footnote w:id="5">
    <w:p w14:paraId="78267B22" w14:textId="213C8783" w:rsidR="00751484" w:rsidRDefault="00751484">
      <w:pPr>
        <w:pStyle w:val="FootnoteText"/>
      </w:pPr>
      <w:r>
        <w:rPr>
          <w:rStyle w:val="FootnoteReference"/>
        </w:rPr>
        <w:footnoteRef/>
      </w:r>
      <w:r>
        <w:rPr>
          <w:rtl/>
        </w:rPr>
        <w:t xml:space="preserve"> </w:t>
      </w:r>
    </w:p>
  </w:footnote>
  <w:footnote w:id="6">
    <w:p w14:paraId="1DD07112" w14:textId="53553855" w:rsidR="001B6848" w:rsidRDefault="001B6848">
      <w:pPr>
        <w:pStyle w:val="FootnoteText"/>
      </w:pPr>
      <w:r>
        <w:rPr>
          <w:rStyle w:val="FootnoteReference"/>
        </w:rPr>
        <w:footnoteRef/>
      </w:r>
      <w:r>
        <w:rPr>
          <w:rtl/>
        </w:rPr>
        <w:t xml:space="preserve"> </w:t>
      </w:r>
    </w:p>
  </w:footnote>
  <w:footnote w:id="7">
    <w:p w14:paraId="47DF5315" w14:textId="0DB200E3" w:rsidR="0069265A" w:rsidRDefault="0069265A">
      <w:pPr>
        <w:pStyle w:val="FootnoteText"/>
      </w:pPr>
      <w:r>
        <w:rPr>
          <w:rStyle w:val="FootnoteReference"/>
        </w:rPr>
        <w:footnoteRef/>
      </w:r>
      <w:r>
        <w:rPr>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F1A"/>
    <w:rsid w:val="00007064"/>
    <w:rsid w:val="000660A6"/>
    <w:rsid w:val="00090F5A"/>
    <w:rsid w:val="000A3560"/>
    <w:rsid w:val="000B2EC6"/>
    <w:rsid w:val="001426E2"/>
    <w:rsid w:val="00185F1A"/>
    <w:rsid w:val="001B6848"/>
    <w:rsid w:val="001F4842"/>
    <w:rsid w:val="001F4EAF"/>
    <w:rsid w:val="00212569"/>
    <w:rsid w:val="00223244"/>
    <w:rsid w:val="00254B34"/>
    <w:rsid w:val="002B1B8D"/>
    <w:rsid w:val="002C13C5"/>
    <w:rsid w:val="00306AB6"/>
    <w:rsid w:val="003172EB"/>
    <w:rsid w:val="00332047"/>
    <w:rsid w:val="00365004"/>
    <w:rsid w:val="00396862"/>
    <w:rsid w:val="00422CCA"/>
    <w:rsid w:val="00466F5D"/>
    <w:rsid w:val="004B3C62"/>
    <w:rsid w:val="004C2697"/>
    <w:rsid w:val="004E77FB"/>
    <w:rsid w:val="00533898"/>
    <w:rsid w:val="005C42A5"/>
    <w:rsid w:val="00613CF2"/>
    <w:rsid w:val="00634C10"/>
    <w:rsid w:val="0069265A"/>
    <w:rsid w:val="00695AB4"/>
    <w:rsid w:val="006978A7"/>
    <w:rsid w:val="006C2F84"/>
    <w:rsid w:val="006C33B3"/>
    <w:rsid w:val="007451C7"/>
    <w:rsid w:val="007458D1"/>
    <w:rsid w:val="00751484"/>
    <w:rsid w:val="00766956"/>
    <w:rsid w:val="007670F1"/>
    <w:rsid w:val="007A3F16"/>
    <w:rsid w:val="007C2B45"/>
    <w:rsid w:val="007D4F9D"/>
    <w:rsid w:val="00812F9C"/>
    <w:rsid w:val="008341C2"/>
    <w:rsid w:val="00865004"/>
    <w:rsid w:val="008E7A69"/>
    <w:rsid w:val="008F743C"/>
    <w:rsid w:val="00901904"/>
    <w:rsid w:val="00922A37"/>
    <w:rsid w:val="00931086"/>
    <w:rsid w:val="00943371"/>
    <w:rsid w:val="0098100D"/>
    <w:rsid w:val="009974D5"/>
    <w:rsid w:val="00A006FE"/>
    <w:rsid w:val="00A27A31"/>
    <w:rsid w:val="00A35F26"/>
    <w:rsid w:val="00A6327C"/>
    <w:rsid w:val="00A64CC2"/>
    <w:rsid w:val="00A77A16"/>
    <w:rsid w:val="00AA7A2D"/>
    <w:rsid w:val="00AB60B7"/>
    <w:rsid w:val="00B45F8E"/>
    <w:rsid w:val="00B65FC9"/>
    <w:rsid w:val="00BA60FC"/>
    <w:rsid w:val="00BB5041"/>
    <w:rsid w:val="00BD2021"/>
    <w:rsid w:val="00C07356"/>
    <w:rsid w:val="00C87EF2"/>
    <w:rsid w:val="00CE44F3"/>
    <w:rsid w:val="00DA0D6E"/>
    <w:rsid w:val="00E31370"/>
    <w:rsid w:val="00E4721C"/>
    <w:rsid w:val="00E60D29"/>
    <w:rsid w:val="00E638E5"/>
    <w:rsid w:val="00EB2F3E"/>
    <w:rsid w:val="00EB4497"/>
    <w:rsid w:val="00F73C1A"/>
    <w:rsid w:val="00F806E0"/>
    <w:rsid w:val="00F8224D"/>
    <w:rsid w:val="00FB6AB9"/>
    <w:rsid w:val="00FE2C63"/>
    <w:rsid w:val="00FE7D9C"/>
    <w:rsid w:val="00FF0B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89CA"/>
  <w15:chartTrackingRefBased/>
  <w15:docId w15:val="{979A1065-D107-4461-82EE-ACCADFB0C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185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F1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85F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5F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5F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5F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5F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5F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F1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85F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5F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5F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5F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5F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5F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5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F1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85F1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85F1A"/>
    <w:pPr>
      <w:spacing w:before="160"/>
      <w:jc w:val="center"/>
    </w:pPr>
    <w:rPr>
      <w:i/>
      <w:iCs/>
      <w:color w:val="404040" w:themeColor="text1" w:themeTint="BF"/>
    </w:rPr>
  </w:style>
  <w:style w:type="character" w:customStyle="1" w:styleId="QuoteChar">
    <w:name w:val="Quote Char"/>
    <w:basedOn w:val="DefaultParagraphFont"/>
    <w:link w:val="Quote"/>
    <w:uiPriority w:val="29"/>
    <w:rsid w:val="00185F1A"/>
    <w:rPr>
      <w:i/>
      <w:iCs/>
      <w:color w:val="404040" w:themeColor="text1" w:themeTint="BF"/>
    </w:rPr>
  </w:style>
  <w:style w:type="paragraph" w:styleId="ListParagraph">
    <w:name w:val="List Paragraph"/>
    <w:basedOn w:val="Normal"/>
    <w:uiPriority w:val="34"/>
    <w:qFormat/>
    <w:rsid w:val="00185F1A"/>
    <w:pPr>
      <w:ind w:left="720"/>
      <w:contextualSpacing/>
    </w:pPr>
  </w:style>
  <w:style w:type="character" w:styleId="IntenseEmphasis">
    <w:name w:val="Intense Emphasis"/>
    <w:basedOn w:val="DefaultParagraphFont"/>
    <w:uiPriority w:val="21"/>
    <w:qFormat/>
    <w:rsid w:val="00185F1A"/>
    <w:rPr>
      <w:i/>
      <w:iCs/>
      <w:color w:val="0F4761" w:themeColor="accent1" w:themeShade="BF"/>
    </w:rPr>
  </w:style>
  <w:style w:type="paragraph" w:styleId="IntenseQuote">
    <w:name w:val="Intense Quote"/>
    <w:basedOn w:val="Normal"/>
    <w:next w:val="Normal"/>
    <w:link w:val="IntenseQuoteChar"/>
    <w:uiPriority w:val="30"/>
    <w:qFormat/>
    <w:rsid w:val="00185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F1A"/>
    <w:rPr>
      <w:i/>
      <w:iCs/>
      <w:color w:val="0F4761" w:themeColor="accent1" w:themeShade="BF"/>
    </w:rPr>
  </w:style>
  <w:style w:type="character" w:styleId="IntenseReference">
    <w:name w:val="Intense Reference"/>
    <w:basedOn w:val="DefaultParagraphFont"/>
    <w:uiPriority w:val="32"/>
    <w:qFormat/>
    <w:rsid w:val="00185F1A"/>
    <w:rPr>
      <w:b/>
      <w:bCs/>
      <w:smallCaps/>
      <w:color w:val="0F4761" w:themeColor="accent1" w:themeShade="BF"/>
      <w:spacing w:val="5"/>
    </w:rPr>
  </w:style>
  <w:style w:type="character" w:styleId="Hyperlink">
    <w:name w:val="Hyperlink"/>
    <w:basedOn w:val="DefaultParagraphFont"/>
    <w:uiPriority w:val="99"/>
    <w:unhideWhenUsed/>
    <w:rsid w:val="004C2697"/>
    <w:rPr>
      <w:color w:val="467886" w:themeColor="hyperlink"/>
      <w:u w:val="single"/>
    </w:rPr>
  </w:style>
  <w:style w:type="character" w:styleId="UnresolvedMention">
    <w:name w:val="Unresolved Mention"/>
    <w:basedOn w:val="DefaultParagraphFont"/>
    <w:uiPriority w:val="99"/>
    <w:semiHidden/>
    <w:unhideWhenUsed/>
    <w:rsid w:val="004C2697"/>
    <w:rPr>
      <w:color w:val="605E5C"/>
      <w:shd w:val="clear" w:color="auto" w:fill="E1DFDD"/>
    </w:rPr>
  </w:style>
  <w:style w:type="paragraph" w:styleId="FootnoteText">
    <w:name w:val="footnote text"/>
    <w:basedOn w:val="Normal"/>
    <w:link w:val="FootnoteTextChar"/>
    <w:uiPriority w:val="99"/>
    <w:semiHidden/>
    <w:unhideWhenUsed/>
    <w:rsid w:val="002C13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13C5"/>
    <w:rPr>
      <w:sz w:val="20"/>
      <w:szCs w:val="20"/>
    </w:rPr>
  </w:style>
  <w:style w:type="character" w:styleId="FootnoteReference">
    <w:name w:val="footnote reference"/>
    <w:basedOn w:val="DefaultParagraphFont"/>
    <w:uiPriority w:val="99"/>
    <w:semiHidden/>
    <w:unhideWhenUsed/>
    <w:rsid w:val="002C13C5"/>
    <w:rPr>
      <w:vertAlign w:val="superscript"/>
    </w:rPr>
  </w:style>
  <w:style w:type="character" w:styleId="FollowedHyperlink">
    <w:name w:val="FollowedHyperlink"/>
    <w:basedOn w:val="DefaultParagraphFont"/>
    <w:uiPriority w:val="99"/>
    <w:semiHidden/>
    <w:unhideWhenUsed/>
    <w:rsid w:val="00A77A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sche-lehre-wm.de/wp-content/uploads/Die-Dispensation-des-Reiches-der-Himmel-JND.pdf" TargetMode="External"/><Relationship Id="rId3" Type="http://schemas.openxmlformats.org/officeDocument/2006/relationships/settings" Target="settings.xml"/><Relationship Id="rId7" Type="http://schemas.openxmlformats.org/officeDocument/2006/relationships/hyperlink" Target="https://biblische-lehre-wm.de/wp-content/uploads/Die-Dispensation-des-Reiches-der-Himmel-JND.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6037D-A66A-4CF9-AD73-7A6AD485E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Pages>
  <Words>2273</Words>
  <Characters>11369</Characters>
  <Application>Microsoft Office Word</Application>
  <DocSecurity>0</DocSecurity>
  <Lines>94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31</cp:revision>
  <dcterms:created xsi:type="dcterms:W3CDTF">2026-06-30T20:43:00Z</dcterms:created>
  <dcterms:modified xsi:type="dcterms:W3CDTF">2026-08-04T11:03:00Z</dcterms:modified>
</cp:coreProperties>
</file>