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84093C" w14:textId="0A631BC9" w:rsidR="00F543A5" w:rsidRDefault="00601206">
      <w:pPr>
        <w:rPr>
          <w:rtl/>
        </w:rPr>
      </w:pPr>
      <w:hyperlink r:id="rId4" w:history="1">
        <w:r w:rsidR="00F03D2F" w:rsidRPr="00F03D2F">
          <w:rPr>
            <w:rStyle w:val="Hyperlink"/>
            <w:rFonts w:hint="cs"/>
            <w:rtl/>
          </w:rPr>
          <w:t>مفاتيح الملكوت</w:t>
        </w:r>
      </w:hyperlink>
    </w:p>
    <w:p w14:paraId="7162BD49" w14:textId="155A4D44" w:rsidR="00F03D2F" w:rsidRDefault="00F03D2F">
      <w:pPr>
        <w:rPr>
          <w:rFonts w:hint="cs"/>
          <w:rtl/>
          <w:lang w:bidi="ar-AE"/>
        </w:rPr>
      </w:pPr>
      <w:r w:rsidRPr="00F03D2F">
        <w:t>F.W. Grant</w:t>
      </w:r>
    </w:p>
    <w:p w14:paraId="4452E964" w14:textId="270D6874" w:rsidR="00F03D2F" w:rsidRDefault="00F03D2F" w:rsidP="00F03D2F">
      <w:pPr>
        <w:rPr>
          <w:rtl/>
        </w:rPr>
      </w:pPr>
      <w:r>
        <w:rPr>
          <w:rFonts w:hint="cs"/>
          <w:rtl/>
        </w:rPr>
        <w:t>الحقيقة بأن الكلمات التي قيلت</w:t>
      </w:r>
      <w:r w:rsidRPr="00F03D2F">
        <w:rPr>
          <w:rFonts w:hint="cs"/>
          <w:rtl/>
        </w:rPr>
        <w:t xml:space="preserve"> </w:t>
      </w:r>
      <w:r>
        <w:rPr>
          <w:rFonts w:hint="cs"/>
          <w:rtl/>
        </w:rPr>
        <w:t xml:space="preserve">فقط لبطرس في متى 16: 9، قد </w:t>
      </w:r>
      <w:r w:rsidR="003B530A">
        <w:rPr>
          <w:rFonts w:hint="cs"/>
          <w:rtl/>
        </w:rPr>
        <w:t>أساء البعض</w:t>
      </w:r>
      <w:r>
        <w:rPr>
          <w:rFonts w:hint="cs"/>
          <w:rtl/>
        </w:rPr>
        <w:t xml:space="preserve"> فهمها، </w:t>
      </w:r>
      <w:r w:rsidRPr="00F03D2F">
        <w:rPr>
          <w:rtl/>
        </w:rPr>
        <w:t xml:space="preserve">لأنهم </w:t>
      </w:r>
      <w:r>
        <w:rPr>
          <w:rFonts w:hint="cs"/>
          <w:rtl/>
        </w:rPr>
        <w:t>لم يعيروا أهمية ل</w:t>
      </w:r>
      <w:r w:rsidRPr="00F03D2F">
        <w:rPr>
          <w:rtl/>
        </w:rPr>
        <w:t>هذه الفقرة نسبيًا.</w:t>
      </w:r>
      <w:r>
        <w:rPr>
          <w:rFonts w:hint="cs"/>
          <w:rtl/>
        </w:rPr>
        <w:t xml:space="preserve"> فلقد تم الافتراض</w:t>
      </w:r>
      <w:r w:rsidR="007D7F53">
        <w:rPr>
          <w:rFonts w:hint="cs"/>
          <w:rtl/>
        </w:rPr>
        <w:t xml:space="preserve"> بأن المفتاح كان لبطرس وحده، ومن ثم قالوا بأنه لا بد وأن يكون القصد في ذلك بحسبما </w:t>
      </w:r>
      <w:r w:rsidR="00BC2F34">
        <w:rPr>
          <w:rFonts w:hint="cs"/>
          <w:rtl/>
        </w:rPr>
        <w:t xml:space="preserve">قد </w:t>
      </w:r>
      <w:r w:rsidR="007D7F53">
        <w:rPr>
          <w:rFonts w:hint="cs"/>
          <w:rtl/>
        </w:rPr>
        <w:t>حدث</w:t>
      </w:r>
      <w:r w:rsidR="00BC2F34">
        <w:rPr>
          <w:rFonts w:hint="cs"/>
          <w:rtl/>
        </w:rPr>
        <w:t xml:space="preserve"> من</w:t>
      </w:r>
      <w:r w:rsidR="007D7F53">
        <w:rPr>
          <w:rFonts w:hint="cs"/>
          <w:rtl/>
        </w:rPr>
        <w:t xml:space="preserve"> افتتاح مزدوج للملكوت في يوم الخمسين بالارتباط مع اليهود ومن بعد ذلك مع كرنيليوس وأصدقائه، أي الأمم. فمعنى هذا القول</w:t>
      </w:r>
      <w:r w:rsidR="0054198E">
        <w:rPr>
          <w:rFonts w:hint="cs"/>
          <w:rtl/>
        </w:rPr>
        <w:t xml:space="preserve"> هو أنه</w:t>
      </w:r>
      <w:r w:rsidR="007D7F53">
        <w:rPr>
          <w:rFonts w:hint="cs"/>
          <w:rtl/>
        </w:rPr>
        <w:t xml:space="preserve"> يُنسب كله إلى الماضي، بحي</w:t>
      </w:r>
      <w:r w:rsidR="00AB00E5">
        <w:rPr>
          <w:rFonts w:hint="cs"/>
          <w:rtl/>
        </w:rPr>
        <w:t>ث أنه لم يعُد له اليوم أهمية كبيرة لنا.</w:t>
      </w:r>
    </w:p>
    <w:p w14:paraId="597AD816" w14:textId="312CA57C" w:rsidR="00AB00E5" w:rsidRDefault="00AB00E5" w:rsidP="00F03D2F">
      <w:pPr>
        <w:rPr>
          <w:rtl/>
        </w:rPr>
      </w:pPr>
      <w:r>
        <w:rPr>
          <w:rFonts w:hint="cs"/>
          <w:rtl/>
        </w:rPr>
        <w:t xml:space="preserve">هل من المعقول بأن هذا كل ما في الأمر؟ هل الأمر المتعلق بملكوت السموات لم نعُد بحاجة إليه في يومنا الحاضر؟ هل انفتح الملكوت في ذلك الحين وبقي مفتوحًا؟ ألم تعُد هنالك أية ضرورة أو قوة لقبوله؟ هل يولد الناس فيها بصورة طبيعية </w:t>
      </w:r>
      <w:r>
        <w:rPr>
          <w:rtl/>
        </w:rPr>
        <w:t>–</w:t>
      </w:r>
      <w:r>
        <w:rPr>
          <w:rFonts w:hint="cs"/>
          <w:rtl/>
        </w:rPr>
        <w:t xml:space="preserve"> أم كيف نفهم هذا الأمر؟</w:t>
      </w:r>
    </w:p>
    <w:p w14:paraId="18D55421" w14:textId="44538153" w:rsidR="00630263" w:rsidRDefault="00630263" w:rsidP="00F03D2F">
      <w:pPr>
        <w:rPr>
          <w:rtl/>
        </w:rPr>
      </w:pPr>
      <w:r>
        <w:rPr>
          <w:rFonts w:hint="cs"/>
          <w:rtl/>
        </w:rPr>
        <w:t xml:space="preserve">إنه لا جدال في أنه هنالك مفاتيح لفتح أمر ما. إن فكرة المفاتيح هي فتح أمر ما. في متى 23: 13 يتكلم الرب بـ"الويل" على </w:t>
      </w:r>
      <w:r w:rsidR="002F25F3">
        <w:rPr>
          <w:rFonts w:hint="cs"/>
          <w:rtl/>
        </w:rPr>
        <w:t>الناموسيين</w:t>
      </w:r>
      <w:r>
        <w:rPr>
          <w:rFonts w:hint="cs"/>
          <w:rtl/>
        </w:rPr>
        <w:t xml:space="preserve">،الذين أغلقوا ملكوت السموات عن الناس. من ثم يُري في لوقا 11: 52 كيف فعلوا ذلك: </w:t>
      </w:r>
      <w:r w:rsidR="002F25F3">
        <w:rPr>
          <w:rFonts w:hint="cs"/>
          <w:rtl/>
        </w:rPr>
        <w:t>"</w:t>
      </w:r>
      <w:r w:rsidR="002F25F3" w:rsidRPr="002F25F3">
        <w:rPr>
          <w:rtl/>
        </w:rPr>
        <w:t xml:space="preserve"> لأَنَّكُمْ أَخَذْتُمْ مِفْتَاحَ الْمَعْرِفَةِ.</w:t>
      </w:r>
      <w:r w:rsidR="002F25F3">
        <w:rPr>
          <w:rFonts w:hint="cs"/>
          <w:rtl/>
        </w:rPr>
        <w:t>". المعرفة لا بد وأن تكون مفتاحًا لملكوت سينشأ من خلال نشر بذار الكلمة. فانتزاعها سيعيق التلمذة. فما نجده هنا هو مفتاح، ونرى في يوم الخمسين كما وفي الحدث الذي صار في بيت كرنيليوس كيف استُخدم هذا المفتاح ليفتح لهم الملكوت.</w:t>
      </w:r>
    </w:p>
    <w:p w14:paraId="52951755" w14:textId="0B2D2473" w:rsidR="00092ACD" w:rsidRDefault="00092ACD" w:rsidP="00F03D2F">
      <w:pPr>
        <w:rPr>
          <w:rtl/>
        </w:rPr>
      </w:pPr>
      <w:r>
        <w:rPr>
          <w:rFonts w:hint="cs"/>
          <w:rtl/>
        </w:rPr>
        <w:t>لكن هل توقف</w:t>
      </w:r>
      <w:r w:rsidR="0054198E">
        <w:rPr>
          <w:rFonts w:hint="cs"/>
          <w:rtl/>
        </w:rPr>
        <w:t xml:space="preserve"> الأمر</w:t>
      </w:r>
      <w:r>
        <w:rPr>
          <w:rFonts w:hint="cs"/>
          <w:rtl/>
        </w:rPr>
        <w:t xml:space="preserve"> عند هذه الأحداث؟ حينما أخبر بولس بملكوت الله في كل مكان </w:t>
      </w:r>
      <w:r>
        <w:rPr>
          <w:rtl/>
        </w:rPr>
        <w:t>–</w:t>
      </w:r>
      <w:r>
        <w:rPr>
          <w:rFonts w:hint="cs"/>
          <w:rtl/>
        </w:rPr>
        <w:t xml:space="preserve"> هل عندها استخدم هذا المفتاح أقل من بطرس؟ أو عندما تكلم في غلاطية 2 بأن إنجيل الغرلة ائتُمن له، كما أن إنجيل الختان ائتُمن لبطرس، هل عندها قصد فعلاً، بأنه لم يُعطى لأحد آخر الحق، أو المأمورية من الله بأن يكرز بالملكوت؟ </w:t>
      </w:r>
      <w:r w:rsidR="00782567">
        <w:rPr>
          <w:rFonts w:hint="cs"/>
          <w:rtl/>
        </w:rPr>
        <w:t>من دون شك أن بطرس حصل على المفتاح في مفهوم خاص، لكنه لم يُعطى له فقط الحق فيه، وهذا سيتضح جدًا. لأنه إن كانت كلمة "لك" تستبعد كل شخص آخر، فباقي الجملة ستهب له الحق بمفرده في الحلّ والربط. وبأنه لم يملك هذا الحق، يتضح في موضع آخر، حيث مكتوب: "</w:t>
      </w:r>
      <w:r w:rsidR="002D4FB1" w:rsidRPr="002D4FB1">
        <w:rPr>
          <w:rtl/>
        </w:rPr>
        <w:t xml:space="preserve"> كُلُّ مَا تَرْبِطُونَهُ عَلَى الأَرْضِ </w:t>
      </w:r>
      <w:r w:rsidR="002D4FB1">
        <w:rPr>
          <w:rFonts w:hint="cs"/>
          <w:rtl/>
        </w:rPr>
        <w:t>..."(متى 18: 18).</w:t>
      </w:r>
    </w:p>
    <w:p w14:paraId="7FD0574C" w14:textId="4E1C6AC8" w:rsidR="002D4FB1" w:rsidRDefault="002D4FB1" w:rsidP="00F03D2F">
      <w:pPr>
        <w:rPr>
          <w:rtl/>
        </w:rPr>
      </w:pPr>
      <w:r>
        <w:rPr>
          <w:rFonts w:hint="cs"/>
          <w:rtl/>
        </w:rPr>
        <w:t xml:space="preserve">عدا ذلك علينا أن نأخذ بعين الاعتبار، بأنه إن كان بطرس قد فتح الباب لليهود في مناسبة، وفي مناسبة أخرى للأمم، فهذا سيعني بأنه فتح الباب مرتين، والذي لم يكن يحتاج لمفتاحين لذلك. فالمفتاحان لم يكن لهما أية حاجة لو كان كل ذلك هكذا. </w:t>
      </w:r>
      <w:r w:rsidR="001B44BB">
        <w:rPr>
          <w:rFonts w:hint="cs"/>
          <w:rtl/>
        </w:rPr>
        <w:t>إننا رأينا ما الذي يعنيه المفتاح. الآن ينبغي علينا أن نجد الآخر فقط. فأين من الممكن أن يكون مُخبّأ؟</w:t>
      </w:r>
    </w:p>
    <w:p w14:paraId="33395326" w14:textId="2FDC58D7" w:rsidR="001B44BB" w:rsidRDefault="001B44BB" w:rsidP="00F03D2F">
      <w:pPr>
        <w:rPr>
          <w:rtl/>
        </w:rPr>
      </w:pPr>
      <w:r>
        <w:rPr>
          <w:rFonts w:hint="cs"/>
          <w:rtl/>
        </w:rPr>
        <w:t>مأمورية التلمذة (متى 28)</w:t>
      </w:r>
    </w:p>
    <w:p w14:paraId="3348F6C4" w14:textId="486CE110" w:rsidR="001B44BB" w:rsidRDefault="001B44BB" w:rsidP="00F03D2F">
      <w:pPr>
        <w:rPr>
          <w:rtl/>
        </w:rPr>
      </w:pPr>
      <w:r>
        <w:rPr>
          <w:rFonts w:hint="cs"/>
          <w:rtl/>
        </w:rPr>
        <w:t>فقط من بعد قيامته طالب الرب فعلاً بأن يكون ملك الملكوت. كل سيادة هي له وإذ ملكوته ملكوت متميّز بالحق، أرسل تلاميذه بمأمورية، بأن يتلمذوا جميع الأمم. وهنا نرى بأن سلطة المفاتيح تنتقل للجميع</w:t>
      </w:r>
      <w:r w:rsidR="00D17797">
        <w:rPr>
          <w:rFonts w:hint="cs"/>
          <w:rtl/>
        </w:rPr>
        <w:t xml:space="preserve">، ولا تبقى منحصرة على بطرس وحده. بالمناسبة هو لم يرسلهم هنا ولو لمرة كرسل. إنهم في هذا الموضع لا يُشار إليهم بهذه الصفة. فلو كان القصد بأنهم هم وحدهم </w:t>
      </w:r>
      <w:r w:rsidR="0023253D">
        <w:rPr>
          <w:rFonts w:hint="cs"/>
          <w:rtl/>
        </w:rPr>
        <w:t xml:space="preserve">كان لهم الحق في ذلك، فمن المؤكد بأنه سيكون لذلك إشارة. لكن هذا ليس هو الحال. إن كلمات الإرسالية تقول </w:t>
      </w:r>
      <w:r w:rsidR="0054198E">
        <w:rPr>
          <w:rFonts w:hint="cs"/>
          <w:rtl/>
        </w:rPr>
        <w:t>كالآتي</w:t>
      </w:r>
      <w:r w:rsidR="0023253D">
        <w:rPr>
          <w:rFonts w:hint="cs"/>
          <w:rtl/>
        </w:rPr>
        <w:t xml:space="preserve">: "فاذهبوا الآن وتلمذوا جميع الأمم وعمّدوهم باسم الآب والابن والروح القدس وعلموهم بأن يحفظوا كل ما أوصيتكم به. وها أنا معكم كل الأيام إلى انقضاء </w:t>
      </w:r>
      <w:r w:rsidR="0023253D" w:rsidRPr="00BF2C60">
        <w:rPr>
          <w:rFonts w:hint="cs"/>
          <w:rtl/>
        </w:rPr>
        <w:t>الدهر</w:t>
      </w:r>
      <w:r w:rsidR="0023253D">
        <w:rPr>
          <w:rFonts w:hint="cs"/>
          <w:rtl/>
        </w:rPr>
        <w:t xml:space="preserve">" (متى 28: 19 </w:t>
      </w:r>
      <w:r w:rsidR="0023253D">
        <w:rPr>
          <w:rtl/>
        </w:rPr>
        <w:t>–</w:t>
      </w:r>
      <w:r w:rsidR="0023253D">
        <w:rPr>
          <w:rFonts w:hint="cs"/>
          <w:rtl/>
        </w:rPr>
        <w:t xml:space="preserve"> 20).</w:t>
      </w:r>
    </w:p>
    <w:p w14:paraId="031050C5" w14:textId="1C9C9392" w:rsidR="00BF2C60" w:rsidRDefault="00BF2C60" w:rsidP="00F03D2F">
      <w:pPr>
        <w:rPr>
          <w:rtl/>
        </w:rPr>
      </w:pPr>
      <w:r>
        <w:rPr>
          <w:rFonts w:hint="cs"/>
          <w:rtl/>
        </w:rPr>
        <w:t xml:space="preserve">فالبعض ظن بأن عبارة "جميع الأمم" هي عبارة عامة للأمم، بحيث أن هذه المأمورية لم تنطبق على إسرائيل. فإن كان الحال ليس كذلك، فسنتعجب لماذا بطرس يتطرق إليه في يوم الخمسين. ألم تكن هذه الكلمات موجهة لإسرائيل؟ إنه واضح بأنه استخدمها للشعب وبأن إسرائيل، التي وكما نعلم كانت لوعمي، شكلّت جزءً من "الأمم"، وقد كان </w:t>
      </w:r>
      <w:r w:rsidR="00CF1C5A">
        <w:rPr>
          <w:rFonts w:hint="cs"/>
          <w:rtl/>
        </w:rPr>
        <w:t>إنجيل الملكوت</w:t>
      </w:r>
      <w:r>
        <w:rPr>
          <w:rFonts w:hint="cs"/>
          <w:rtl/>
        </w:rPr>
        <w:t xml:space="preserve"> موجّه إليها</w:t>
      </w:r>
      <w:r w:rsidR="00CF1C5A">
        <w:rPr>
          <w:rFonts w:hint="cs"/>
          <w:rtl/>
        </w:rPr>
        <w:t>. الكثير من المشاكل ستُحلّ في حال أن كل شيء في محله. ترجمة الكتاب المقدس القديمة لا زالت تُقرأ "علّموا جميع الأمم" وتضع في الحاشية الكلمات "تلمذوا". إلا أن الإصدار المعدّل يُدخل الكلمات الأخير</w:t>
      </w:r>
      <w:r w:rsidR="006A16A6">
        <w:rPr>
          <w:rFonts w:hint="cs"/>
          <w:rtl/>
        </w:rPr>
        <w:t>ة</w:t>
      </w:r>
      <w:r w:rsidR="00CF1C5A">
        <w:rPr>
          <w:rFonts w:hint="cs"/>
          <w:rtl/>
        </w:rPr>
        <w:t xml:space="preserve"> في مكانها الصحيح في النص. </w:t>
      </w:r>
      <w:r w:rsidR="00CF1C5A" w:rsidRPr="00CF1C5A">
        <w:rPr>
          <w:rtl/>
        </w:rPr>
        <w:t xml:space="preserve">بالمعنى الدقيق للكلمة، إنه ليس فعلًا </w:t>
      </w:r>
      <w:r w:rsidR="00E2602B">
        <w:rPr>
          <w:rFonts w:hint="cs"/>
          <w:rtl/>
        </w:rPr>
        <w:t>يليه اسم، إنما هو فعل قائم بمفرده فقط: وهو غير مذكور هنا من دون سبب، لأنه في الحالة الأولى كان ينبغي أن التلاميذ يعتمدوا، ولكن ما هو فعلاً مكتوب هو أن الأمم يُتلمذون بالمعمودية.</w:t>
      </w:r>
    </w:p>
    <w:p w14:paraId="2A6B0331" w14:textId="24B493B1" w:rsidR="0023253D" w:rsidRDefault="0083779B" w:rsidP="00F03D2F">
      <w:pPr>
        <w:rPr>
          <w:rtl/>
        </w:rPr>
      </w:pPr>
      <w:r>
        <w:rPr>
          <w:rFonts w:hint="cs"/>
          <w:rtl/>
        </w:rPr>
        <w:t>فإن كانت "التلمذة" (تلمذوا) هي أمر يدخل المرء بواسطته إلى ملكوت السموات، فما لدينا هنا هو المفتاح الآخر الذي كنا نفتش عنه إلى الآن. فما نراه هنا هو المفتاحان: المعمودية والتعليم. التعليم قد تأملنا فيه. الرب دعاه بنفسه في لوقا 11: 52 "مفتاح المعرفة". وهذا يصرّح بأنه في المعمودية يدور الأمر  في الواقع حول "مفتاح"،</w:t>
      </w:r>
      <w:r w:rsidR="008F28E6">
        <w:rPr>
          <w:rFonts w:hint="cs"/>
          <w:rtl/>
        </w:rPr>
        <w:t xml:space="preserve"> إن نظرنا إلى يوم الخمسين، استُخدم من قبل الرسل. حينما انتُخس اليهود في قلوبهم في أعمال الرسل 2: 37 من بعد الكرازة بملك الملكوت الجديد، نادوا: "</w:t>
      </w:r>
      <w:r w:rsidR="008F28E6" w:rsidRPr="008F28E6">
        <w:rPr>
          <w:rtl/>
        </w:rPr>
        <w:t>«مَاذَا نَصْنَعُ أَيُّهَا الرِّجَالُ الإِخْوَةُ؟»  38 فَقَالَ لَهُمْ بُطْرُسُ :«تُوبُوا وَلْيَعْتَمِدْ كُلُّ وَاحِدٍ مِنْكُمْ عَلَى اسْمِ يَسُوعَ الْمَسِيحِ لِغُفْرَانِ الْخَطَايَا، فَتَقْبَلُوا عَطِيَّةَ الرُّوحِ الْقُدُسِ.</w:t>
      </w:r>
      <w:r w:rsidR="008F28E6">
        <w:rPr>
          <w:rFonts w:hint="cs"/>
          <w:rtl/>
        </w:rPr>
        <w:t>".</w:t>
      </w:r>
    </w:p>
    <w:p w14:paraId="3E92B528" w14:textId="3A9E5352" w:rsidR="008F28E6" w:rsidRDefault="00BF63FD" w:rsidP="00F03D2F">
      <w:pPr>
        <w:rPr>
          <w:rtl/>
        </w:rPr>
      </w:pPr>
      <w:r>
        <w:rPr>
          <w:rFonts w:hint="cs"/>
          <w:rtl/>
        </w:rPr>
        <w:t xml:space="preserve">دعونا الآن نتأمل في هذه النقطة عن كثب. أود أولاً بأن أنوّه بأن كلمات المأمورية "تلمذوا، عمدوهم وعلّموهم" تري بأن التعليم هو ما يكمّل التلميذ </w:t>
      </w:r>
      <w:r>
        <w:rPr>
          <w:rtl/>
        </w:rPr>
        <w:t>–</w:t>
      </w:r>
      <w:r>
        <w:rPr>
          <w:rFonts w:hint="cs"/>
          <w:rtl/>
        </w:rPr>
        <w:t xml:space="preserve"> وهذا حتمًا كذلك، لأن "التلميذ" هو طالب دراسة: المعمودية تضعه فقط في مكانة ما. فالأمر يدور في ذلك حول قَبول رسمي في المدرسة. إنه الفاصل بين الذين يقبلوه وبالتالي يعترفون به في عالم يرفض المسيح</w:t>
      </w:r>
      <w:r w:rsidR="00495669">
        <w:rPr>
          <w:rFonts w:hint="cs"/>
          <w:rtl/>
        </w:rPr>
        <w:t xml:space="preserve"> وكلماته. هذا يُري بأن الملكوت لا يحدّه مكان، وبأن لا إنسان يمكنه أن يولد في هذا الملكوت بصورة طبيعية. إنه الآن على نحو شخصي وليس قومي، كما كان مع إسرائيل في الماضي. المعنى الرمزي يتعدى ذلك بكثير. إن كان الخضوع للمسيح صادق أو لا، يبقى في البداية غير واضح وليس هناك حاجة للمعتمد بأن يصرّح بذلك. إلا أنه من الواضح، بأن الاعتراف بحد ذاته له حقه ولا يجوز الاستخفاف به، بتقليل مضمونها</w:t>
      </w:r>
      <w:r w:rsidR="00601206">
        <w:rPr>
          <w:rFonts w:hint="cs"/>
          <w:rtl/>
        </w:rPr>
        <w:t xml:space="preserve"> </w:t>
      </w:r>
      <w:r w:rsidR="00601206" w:rsidRPr="00601206">
        <w:rPr>
          <w:rtl/>
        </w:rPr>
        <w:t>(</w:t>
      </w:r>
      <w:r w:rsidR="00601206">
        <w:rPr>
          <w:rFonts w:hint="cs"/>
          <w:rtl/>
        </w:rPr>
        <w:t xml:space="preserve">أي </w:t>
      </w:r>
      <w:bookmarkStart w:id="0" w:name="_GoBack"/>
      <w:bookmarkEnd w:id="0"/>
      <w:r w:rsidR="00601206" w:rsidRPr="00601206">
        <w:rPr>
          <w:rtl/>
        </w:rPr>
        <w:t>عملية المعمودية)</w:t>
      </w:r>
      <w:r w:rsidR="00495669">
        <w:rPr>
          <w:rFonts w:hint="cs"/>
          <w:rtl/>
        </w:rPr>
        <w:t xml:space="preserve"> لأنها استُخدمت  بشكل سطحي. الملك يرحّب بالجميع </w:t>
      </w:r>
      <w:r w:rsidR="00495669">
        <w:rPr>
          <w:rtl/>
        </w:rPr>
        <w:t>–</w:t>
      </w:r>
      <w:r w:rsidR="00495669">
        <w:rPr>
          <w:rFonts w:hint="cs"/>
          <w:rtl/>
        </w:rPr>
        <w:t xml:space="preserve"> والمقام في الملكوت هو في النهاية بشرط.</w:t>
      </w:r>
    </w:p>
    <w:p w14:paraId="472232D0" w14:textId="3ACA73D3" w:rsidR="00580DE1" w:rsidRDefault="00580DE1" w:rsidP="00F03D2F">
      <w:pPr>
        <w:rPr>
          <w:rtl/>
        </w:rPr>
      </w:pPr>
      <w:r>
        <w:rPr>
          <w:rFonts w:hint="cs"/>
          <w:rtl/>
        </w:rPr>
        <w:t>المعمودية تتم "</w:t>
      </w:r>
      <w:r w:rsidRPr="00580DE1">
        <w:rPr>
          <w:rtl/>
        </w:rPr>
        <w:t>بِاسْمِ الآب وَالابْنِ وَالرُّوحِ الْقُدُسِ.</w:t>
      </w:r>
      <w:r>
        <w:rPr>
          <w:rFonts w:hint="cs"/>
          <w:rtl/>
        </w:rPr>
        <w:t>". إنه مكتوب هنا: "</w:t>
      </w:r>
      <w:r w:rsidRPr="00580DE1">
        <w:rPr>
          <w:rtl/>
        </w:rPr>
        <w:t>بِاسْمِ</w:t>
      </w:r>
      <w:r>
        <w:rPr>
          <w:rFonts w:hint="cs"/>
          <w:rtl/>
        </w:rPr>
        <w:t xml:space="preserve">" </w:t>
      </w:r>
      <w:r>
        <w:rPr>
          <w:rtl/>
        </w:rPr>
        <w:t>–</w:t>
      </w:r>
      <w:r>
        <w:rPr>
          <w:rFonts w:hint="cs"/>
          <w:rtl/>
        </w:rPr>
        <w:t xml:space="preserve"> إنه بالمفرد وليس بالجمع فيما يتعلق بالثالوث. هنا يأتي تعبير </w:t>
      </w:r>
      <w:r w:rsidR="00B75F80">
        <w:rPr>
          <w:rFonts w:hint="cs"/>
          <w:rtl/>
        </w:rPr>
        <w:t>وحي الله المسيحي. كل ما لم يتم بهذه الصورة ليس مسيحي. "الاسم" في الكتاب دائمًا منسوب للطابع الحقيقي لأمر ما. هنا الاسم معناه حق اللاهوت، كما قد عُرّفنا به: "المعمودية" و الإيمان مرتبطان مرة أخرى ببعضهما كما في أفسس 4 ("إيمان واحد، معمودية واحدة")...</w:t>
      </w:r>
    </w:p>
    <w:p w14:paraId="03CA39CD" w14:textId="5865FD39" w:rsidR="00B75F80" w:rsidRPr="00F03D2F" w:rsidRDefault="00EC1EFD" w:rsidP="00F03D2F">
      <w:r>
        <w:rPr>
          <w:rFonts w:hint="cs"/>
          <w:rtl/>
        </w:rPr>
        <w:t>في يوحنا 4: 1 نقرأ، بأن "</w:t>
      </w:r>
      <w:r w:rsidRPr="00EC1EFD">
        <w:rPr>
          <w:rtl/>
        </w:rPr>
        <w:t>يَسُوعَ يُصَيِّرُ وَيُعَمِّدُ تَلاَمِيذَ</w:t>
      </w:r>
      <w:r>
        <w:rPr>
          <w:rFonts w:hint="cs"/>
          <w:rtl/>
        </w:rPr>
        <w:t xml:space="preserve">...". البعض ذكر هذا الموضع ليُظهروا بأنه هنا عُرضت أفكار متناقضة. ولكن هذا فعلاً هكذا، بأن هذا الموضع يشدد فقط على الحق، بأنها الكلمة، التعليم، التي فعلاً تصيّر تلاميذ. إن فكرنا ما الذي يتلمذ، فحتمًا الكلمة هي العنصر الأساسي والماء هو مجرد العنصر </w:t>
      </w:r>
      <w:r w:rsidR="008C3F00">
        <w:rPr>
          <w:rFonts w:hint="cs"/>
          <w:rtl/>
        </w:rPr>
        <w:t>الظاهري، وإن كان له أهميته أيضًا. من سيدّعي بأن اللص المائت على الصليب لم يكن تلميذًا، لأنه لم تكن له الفرصة بأن يعتمد؟ عندما يتكلم في يوحنا 4: 1، بأن الرب صيّر تلاميذًا وعمّدهم فليس من الضروري أنهم قد صاروا تلاميذ. الجزء الثاني في هذا الكلام يوضّح في مفهوم ما الكلام الأول وهو ضروري لتوضيح الكلام. عندما قال في خروج 29: 7: "</w:t>
      </w:r>
      <w:r w:rsidR="008C3F00" w:rsidRPr="008C3F00">
        <w:rPr>
          <w:rtl/>
        </w:rPr>
        <w:t xml:space="preserve"> 7 وَتَأْخُذُ دُهْنَ الْمَسْحَةِ وَتَسْكُبُهُ عَلَى رَأْسِهِ وَتَمْسَحُهُ.</w:t>
      </w:r>
      <w:r w:rsidR="008C3F00">
        <w:rPr>
          <w:rFonts w:hint="cs"/>
          <w:rtl/>
        </w:rPr>
        <w:t>"، ومن ثم نرى بأنه أمر حدث مرة واحدة لا غير. العبارة التالية تخدم في توضيح التي قبلها.</w:t>
      </w:r>
    </w:p>
    <w:sectPr w:rsidR="00B75F80" w:rsidRPr="00F03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2F"/>
    <w:rsid w:val="00092ACD"/>
    <w:rsid w:val="001B44BB"/>
    <w:rsid w:val="0023253D"/>
    <w:rsid w:val="002D4FB1"/>
    <w:rsid w:val="002F25F3"/>
    <w:rsid w:val="003B530A"/>
    <w:rsid w:val="00495669"/>
    <w:rsid w:val="0054198E"/>
    <w:rsid w:val="00580DE1"/>
    <w:rsid w:val="00601206"/>
    <w:rsid w:val="00630263"/>
    <w:rsid w:val="00632D25"/>
    <w:rsid w:val="006A16A6"/>
    <w:rsid w:val="00782567"/>
    <w:rsid w:val="007D7F53"/>
    <w:rsid w:val="0083779B"/>
    <w:rsid w:val="008C3F00"/>
    <w:rsid w:val="008F28E6"/>
    <w:rsid w:val="00AB00E5"/>
    <w:rsid w:val="00B75F80"/>
    <w:rsid w:val="00BC2F34"/>
    <w:rsid w:val="00BF2C60"/>
    <w:rsid w:val="00BF63FD"/>
    <w:rsid w:val="00CF1C5A"/>
    <w:rsid w:val="00D17797"/>
    <w:rsid w:val="00E2602B"/>
    <w:rsid w:val="00EC1EFD"/>
    <w:rsid w:val="00F03D2F"/>
    <w:rsid w:val="00F543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7A9D"/>
  <w15:chartTrackingRefBased/>
  <w15:docId w15:val="{4D2C9E3A-5645-4D57-A6E7-D2E4A57A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3D2F"/>
    <w:rPr>
      <w:color w:val="0563C1" w:themeColor="hyperlink"/>
      <w:u w:val="single"/>
    </w:rPr>
  </w:style>
  <w:style w:type="character" w:styleId="UnresolvedMention">
    <w:name w:val="Unresolved Mention"/>
    <w:basedOn w:val="DefaultParagraphFont"/>
    <w:uiPriority w:val="99"/>
    <w:semiHidden/>
    <w:unhideWhenUsed/>
    <w:rsid w:val="00F03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49/die-schluessel-des-reich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11</cp:revision>
  <dcterms:created xsi:type="dcterms:W3CDTF">2022-01-06T20:46:00Z</dcterms:created>
  <dcterms:modified xsi:type="dcterms:W3CDTF">2022-01-07T11:55:00Z</dcterms:modified>
</cp:coreProperties>
</file>