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054BFF">
      <w:pPr>
        <w:rPr>
          <w:rtl/>
          <w:lang w:bidi="ar-AE"/>
        </w:rPr>
      </w:pPr>
      <w:hyperlink r:id="rId4" w:history="1">
        <w:r w:rsidR="003953F0" w:rsidRPr="00054BFF">
          <w:rPr>
            <w:rStyle w:val="Hyperlink"/>
            <w:rFonts w:hint="cs"/>
            <w:rtl/>
            <w:lang w:bidi="ar-AE"/>
          </w:rPr>
          <w:t>نظرة عامة حول المزامير</w:t>
        </w:r>
      </w:hyperlink>
    </w:p>
    <w:p w:rsidR="003953F0" w:rsidRDefault="003953F0">
      <w:pPr>
        <w:rPr>
          <w:rtl/>
          <w:lang w:bidi="ar-AE"/>
        </w:rPr>
      </w:pPr>
      <w:r w:rsidRPr="003953F0">
        <w:rPr>
          <w:lang w:bidi="ar-AE"/>
        </w:rPr>
        <w:t>Stanley Bruce Anstey</w:t>
      </w:r>
    </w:p>
    <w:p w:rsidR="00054BFF" w:rsidRDefault="001B7F6B">
      <w:pPr>
        <w:rPr>
          <w:rtl/>
          <w:lang w:bidi="ar-AE"/>
        </w:rPr>
      </w:pPr>
      <w:r>
        <w:rPr>
          <w:rFonts w:hint="cs"/>
          <w:rtl/>
          <w:lang w:bidi="ar-AE"/>
        </w:rPr>
        <w:t>تمهيد</w:t>
      </w:r>
    </w:p>
    <w:p w:rsidR="001B7F6B" w:rsidRDefault="001B7F6B">
      <w:pPr>
        <w:rPr>
          <w:rtl/>
          <w:lang w:bidi="ar-AE"/>
        </w:rPr>
      </w:pPr>
      <w:r>
        <w:rPr>
          <w:rFonts w:hint="cs"/>
          <w:rtl/>
          <w:lang w:bidi="ar-AE"/>
        </w:rPr>
        <w:t>كثيرٌ من القراء يتغاضون النظر عن السياق الصحيح للخلاص التاريخي، الذي وضعه الروح القدس في المزامير. هم يطبقونه على المقام المسيحي، على اختباره ورجاءه. إنه خطأ إذ أن المزامير لا تصل فعلاً إلى مستوى الفطنة المسيحية والبركات المسيحية. دراسة دقيقة للمزامير سترينا بأنها في مفهومها ليست مسيحية، وإنما بالحري لها طابع يهودي.</w:t>
      </w:r>
    </w:p>
    <w:p w:rsidR="001B7F6B" w:rsidRDefault="001B7F6B">
      <w:pPr>
        <w:rPr>
          <w:rtl/>
          <w:lang w:bidi="ar-AE"/>
        </w:rPr>
      </w:pPr>
      <w:r>
        <w:rPr>
          <w:rFonts w:hint="cs"/>
          <w:rtl/>
          <w:lang w:bidi="ar-AE"/>
        </w:rPr>
        <w:t>ستة أسباب لماذا المزامير يهودية وليست مسيحية</w:t>
      </w:r>
    </w:p>
    <w:p w:rsidR="001B7F6B" w:rsidRDefault="001B7F6B">
      <w:pPr>
        <w:rPr>
          <w:rtl/>
          <w:lang w:bidi="ar-AE"/>
        </w:rPr>
      </w:pPr>
      <w:r>
        <w:rPr>
          <w:rFonts w:hint="cs"/>
          <w:rtl/>
          <w:lang w:bidi="ar-AE"/>
        </w:rPr>
        <w:t>1. اسم الآب الذي يميّز المسيحية غير معروف فيها (رومية 8: 14؛ غلاطية 4: 6). بالتالي فالحياة الأبدية تفقد متعتها فيها (يوحنا 17: 3). صلوات وتسابيح المزامير بدلاً من ذلك هي موجّهة للرب يهوه، لعهده مع إسرائيل، ولله (إلوهيم) في اسمه كالخالق.</w:t>
      </w:r>
    </w:p>
    <w:p w:rsidR="001B7F6B" w:rsidRDefault="001B7F6B">
      <w:pPr>
        <w:rPr>
          <w:rtl/>
          <w:lang w:bidi="ar-AE"/>
        </w:rPr>
      </w:pPr>
      <w:r>
        <w:rPr>
          <w:rFonts w:hint="cs"/>
          <w:rtl/>
          <w:lang w:bidi="ar-AE"/>
        </w:rPr>
        <w:t>2. فيها لا نجد لا معرفة عن عمل المسيح المُكمّل على الصليب، ولا عن قَبول المؤمن المطلق أمام الله فيه (أفسس 1: 6). بالتالي فالأشخاص التي في المزامير ليس لها ضمير متطهّر (عبرانيين 9: 14؛ 10: 2، 22)</w:t>
      </w:r>
      <w:r w:rsidR="008F5BBD">
        <w:rPr>
          <w:rFonts w:hint="cs"/>
          <w:rtl/>
          <w:lang w:bidi="ar-AE"/>
        </w:rPr>
        <w:t xml:space="preserve">، وليس لها سلام مع الله (رومية 5: 11). ما لديهم هو الخوف كما في الماضي هكذا في الحاضر، بأن الله سيدينهم على خطاياهم </w:t>
      </w:r>
      <w:r w:rsidR="008F5BBD">
        <w:rPr>
          <w:rtl/>
          <w:lang w:bidi="ar-AE"/>
        </w:rPr>
        <w:t>–</w:t>
      </w:r>
      <w:r w:rsidR="008F5BBD">
        <w:rPr>
          <w:rFonts w:hint="cs"/>
          <w:rtl/>
          <w:lang w:bidi="ar-AE"/>
        </w:rPr>
        <w:t xml:space="preserve"> حتى من بعد اعترافهم بالخطايا (قارن مزمور 25: 7، 11، 18؛ 38: 1 </w:t>
      </w:r>
      <w:r w:rsidR="008F5BBD">
        <w:rPr>
          <w:rtl/>
          <w:lang w:bidi="ar-AE"/>
        </w:rPr>
        <w:t>–</w:t>
      </w:r>
      <w:r w:rsidR="008F5BBD">
        <w:rPr>
          <w:rFonts w:hint="cs"/>
          <w:rtl/>
          <w:lang w:bidi="ar-AE"/>
        </w:rPr>
        <w:t xml:space="preserve"> 4؛ 51: 9 </w:t>
      </w:r>
      <w:r w:rsidR="008F5BBD">
        <w:rPr>
          <w:rtl/>
          <w:lang w:bidi="ar-AE"/>
        </w:rPr>
        <w:t>–</w:t>
      </w:r>
      <w:r w:rsidR="008F5BBD">
        <w:rPr>
          <w:rFonts w:hint="cs"/>
          <w:rtl/>
          <w:lang w:bidi="ar-AE"/>
        </w:rPr>
        <w:t xml:space="preserve"> 11؛ إلخ..)</w:t>
      </w:r>
    </w:p>
    <w:p w:rsidR="008F5BBD" w:rsidRDefault="00573229">
      <w:pPr>
        <w:rPr>
          <w:rtl/>
          <w:lang w:bidi="ar-AE"/>
        </w:rPr>
      </w:pPr>
      <w:r>
        <w:rPr>
          <w:rFonts w:hint="cs"/>
          <w:rtl/>
          <w:lang w:bidi="ar-AE"/>
        </w:rPr>
        <w:t>3. الأشخاص الذين في المزامير هم غير مختومين بالروح القدس كما هم المسيحيون (أفسس 1: 13، 14؛ 4: 30). سُكنى الروح القدس الدائم هو ليس معروف لديهم (يوحنا 14: 16). قارن مزمور 51: 12).</w:t>
      </w:r>
    </w:p>
    <w:p w:rsidR="00573229" w:rsidRDefault="00944449">
      <w:pPr>
        <w:rPr>
          <w:rtl/>
          <w:lang w:bidi="ar-AE"/>
        </w:rPr>
      </w:pPr>
      <w:r>
        <w:rPr>
          <w:rFonts w:hint="cs"/>
          <w:rtl/>
          <w:lang w:bidi="ar-AE"/>
        </w:rPr>
        <w:t>4. الرجاء الذي في المزامير هو امتلاك الملكوت على الأرض ببركاته الأرضية (مزمور 37: 22؛ 65: 10؛ 107: 36؛ إلخ..). إن هذا أيضًا صحيح ويليق باليهود، لكن المسيحيون فلهم رجاء سماوي، دعوة سماوية وتعيين سماوي وهو غير معروف في المزامير (فيلبي 3: 20، 21؛ كولوسي 1: 5؛ عبرانيين 3: 1؛ 2. كورنثوس 5: 1).</w:t>
      </w:r>
    </w:p>
    <w:p w:rsidR="00944449" w:rsidRDefault="00C64442">
      <w:pPr>
        <w:rPr>
          <w:rtl/>
          <w:lang w:bidi="ar-AE"/>
        </w:rPr>
      </w:pPr>
      <w:r>
        <w:rPr>
          <w:rFonts w:hint="cs"/>
          <w:rtl/>
          <w:lang w:bidi="ar-AE"/>
        </w:rPr>
        <w:t xml:space="preserve">5. السجود والتسبيح في المزامير هي يهودية في طابعها. إنها موجودة في هيكل أرضي (مزمور 5: 8؛ 26: 6 </w:t>
      </w:r>
      <w:r>
        <w:rPr>
          <w:rtl/>
          <w:lang w:bidi="ar-AE"/>
        </w:rPr>
        <w:t>–</w:t>
      </w:r>
      <w:r>
        <w:rPr>
          <w:rFonts w:hint="cs"/>
          <w:rtl/>
          <w:lang w:bidi="ar-AE"/>
        </w:rPr>
        <w:t xml:space="preserve"> 8؛ 27: 4 </w:t>
      </w:r>
      <w:r>
        <w:rPr>
          <w:rtl/>
          <w:lang w:bidi="ar-AE"/>
        </w:rPr>
        <w:t>–</w:t>
      </w:r>
      <w:r>
        <w:rPr>
          <w:rFonts w:hint="cs"/>
          <w:rtl/>
          <w:lang w:bidi="ar-AE"/>
        </w:rPr>
        <w:t xml:space="preserve"> 6؛ إلخ..) ومدعومة بآلات موسيقية (مزمور 68: 26؛ 149؛ 150). في المزامير الرب يهوه هو الذي يُقدّم له السجود. أما السجود اللائق بالمسيحية</w:t>
      </w:r>
      <w:r w:rsidR="00121976">
        <w:rPr>
          <w:rFonts w:hint="cs"/>
          <w:rtl/>
          <w:lang w:bidi="ar-AE"/>
        </w:rPr>
        <w:t xml:space="preserve"> بالمقابل هو سجود للآب والابن في الروح والحق في حضرة الله المباشرة داخل الحجاب (يوحنا 4: 21 </w:t>
      </w:r>
      <w:r w:rsidR="00121976">
        <w:rPr>
          <w:rtl/>
          <w:lang w:bidi="ar-AE"/>
        </w:rPr>
        <w:t>–</w:t>
      </w:r>
      <w:r w:rsidR="00121976">
        <w:rPr>
          <w:rFonts w:hint="cs"/>
          <w:rtl/>
          <w:lang w:bidi="ar-AE"/>
        </w:rPr>
        <w:t xml:space="preserve"> 23؛ فيلبي 3: 3؛ عبرانيين 10: 19 </w:t>
      </w:r>
      <w:r w:rsidR="00121976">
        <w:rPr>
          <w:rtl/>
          <w:lang w:bidi="ar-AE"/>
        </w:rPr>
        <w:t>–</w:t>
      </w:r>
      <w:r w:rsidR="00121976">
        <w:rPr>
          <w:rFonts w:hint="cs"/>
          <w:rtl/>
          <w:lang w:bidi="ar-AE"/>
        </w:rPr>
        <w:t xml:space="preserve"> 22؛ 1. بطرس 2: 5).</w:t>
      </w:r>
    </w:p>
    <w:p w:rsidR="00121976" w:rsidRDefault="00130078">
      <w:pPr>
        <w:rPr>
          <w:rFonts w:hint="cs"/>
          <w:rtl/>
          <w:lang w:bidi="ar-AE"/>
        </w:rPr>
      </w:pPr>
      <w:r>
        <w:rPr>
          <w:rFonts w:hint="cs"/>
          <w:rtl/>
          <w:lang w:bidi="ar-AE"/>
        </w:rPr>
        <w:t xml:space="preserve">6. الأشخاص في المزامير ينادون بالانتقام من مضطهديهم ومضايقيهم (المزامير في هذا الصدد هي في حاشية الملاحظات في نهاية المقال عن ملاحظة </w:t>
      </w:r>
      <w:hyperlink r:id="rId5" w:anchor=":~:text=Ps%205).-,Das%20mag%20f%C3%BCr,-den%20Juden%2C%20dessen" w:history="1">
        <w:r w:rsidRPr="00634F62">
          <w:rPr>
            <w:rStyle w:val="Hyperlink"/>
            <w:rFonts w:hint="cs"/>
            <w:rtl/>
            <w:lang w:bidi="ar-AE"/>
          </w:rPr>
          <w:t>مزمور</w:t>
        </w:r>
      </w:hyperlink>
      <w:bookmarkStart w:id="0" w:name="_GoBack"/>
      <w:bookmarkEnd w:id="0"/>
      <w:r>
        <w:rPr>
          <w:rFonts w:hint="cs"/>
          <w:rtl/>
          <w:lang w:bidi="ar-AE"/>
        </w:rPr>
        <w:t xml:space="preserve"> 5). </w:t>
      </w:r>
    </w:p>
    <w:sectPr w:rsidR="00121976"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3F0"/>
    <w:rsid w:val="00054BFF"/>
    <w:rsid w:val="000C5A11"/>
    <w:rsid w:val="00121976"/>
    <w:rsid w:val="00130078"/>
    <w:rsid w:val="001B7F6B"/>
    <w:rsid w:val="003056E7"/>
    <w:rsid w:val="003953F0"/>
    <w:rsid w:val="00573229"/>
    <w:rsid w:val="00634F62"/>
    <w:rsid w:val="008F5BBD"/>
    <w:rsid w:val="00944449"/>
    <w:rsid w:val="00BA192E"/>
    <w:rsid w:val="00C442EF"/>
    <w:rsid w:val="00C6444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B966"/>
  <w15:chartTrackingRefBased/>
  <w15:docId w15:val="{073D22FD-8426-4A17-9377-843C3556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4BFF"/>
    <w:rPr>
      <w:color w:val="0563C1" w:themeColor="hyperlink"/>
      <w:u w:val="single"/>
    </w:rPr>
  </w:style>
  <w:style w:type="character" w:styleId="UnresolvedMention">
    <w:name w:val="Unresolved Mention"/>
    <w:basedOn w:val="DefaultParagraphFont"/>
    <w:uiPriority w:val="99"/>
    <w:semiHidden/>
    <w:unhideWhenUsed/>
    <w:rsid w:val="00054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688/prophetische-uebersicht-ueber-die-psalmen" TargetMode="External"/><Relationship Id="rId4" Type="http://schemas.openxmlformats.org/officeDocument/2006/relationships/hyperlink" Target="https://www.bibelkommentare.de/kommentare/688/prophetische-uebersicht-ueber-die-psal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8</cp:revision>
  <dcterms:created xsi:type="dcterms:W3CDTF">2022-05-25T12:45:00Z</dcterms:created>
  <dcterms:modified xsi:type="dcterms:W3CDTF">2022-05-25T13:10:00Z</dcterms:modified>
</cp:coreProperties>
</file>