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63BFB6" w14:textId="2C75DC99" w:rsidR="00AF6FE2" w:rsidRDefault="0028544A">
      <w:pPr>
        <w:rPr>
          <w:rtl/>
          <w:lang w:bidi="ar-SA"/>
        </w:rPr>
      </w:pPr>
      <w:hyperlink r:id="rId4" w:history="1">
        <w:r w:rsidRPr="0028544A">
          <w:rPr>
            <w:rStyle w:val="Hyperlink"/>
            <w:rtl/>
            <w:lang w:bidi="ar-SA"/>
          </w:rPr>
          <w:t>نعمة وتلمذة</w:t>
        </w:r>
      </w:hyperlink>
    </w:p>
    <w:p w14:paraId="4D865782" w14:textId="3A8BDFA9" w:rsidR="0028544A" w:rsidRDefault="0028544A" w:rsidP="0028544A">
      <w:pPr>
        <w:bidi w:val="0"/>
        <w:rPr>
          <w:lang w:bidi="ar-SA"/>
        </w:rPr>
      </w:pPr>
      <w:r w:rsidRPr="0028544A">
        <w:rPr>
          <w:lang w:bidi="ar-SA"/>
        </w:rPr>
        <w:t>William Wooldridge Fereday</w:t>
      </w:r>
    </w:p>
    <w:p w14:paraId="6A4F2C7C" w14:textId="606AEE70" w:rsidR="0028544A" w:rsidRDefault="0028544A" w:rsidP="0028544A">
      <w:pPr>
        <w:rPr>
          <w:rtl/>
          <w:lang w:bidi="ar-SA"/>
        </w:rPr>
      </w:pPr>
      <w:r>
        <w:rPr>
          <w:rFonts w:hint="cs"/>
          <w:rtl/>
          <w:lang w:bidi="ar-SA"/>
        </w:rPr>
        <w:t xml:space="preserve">لوقا 14: 16 </w:t>
      </w:r>
      <w:r>
        <w:rPr>
          <w:rtl/>
          <w:lang w:bidi="ar-SA"/>
        </w:rPr>
        <w:t>–</w:t>
      </w:r>
      <w:r>
        <w:rPr>
          <w:rFonts w:hint="cs"/>
          <w:rtl/>
          <w:lang w:bidi="ar-SA"/>
        </w:rPr>
        <w:t xml:space="preserve"> 35</w:t>
      </w:r>
    </w:p>
    <w:p w14:paraId="20219AD2" w14:textId="27B4C9EA" w:rsidR="0028544A" w:rsidRDefault="0028544A" w:rsidP="0028544A">
      <w:pPr>
        <w:rPr>
          <w:rtl/>
          <w:lang w:bidi="ar-SA"/>
        </w:rPr>
      </w:pPr>
      <w:r>
        <w:rPr>
          <w:rFonts w:hint="cs"/>
          <w:rtl/>
          <w:lang w:bidi="ar-SA"/>
        </w:rPr>
        <w:t>لقد ربط روح الله في هذا الموضع مبدأين شديدي الأهمية وبنفس الوقت مختلفين عن بعضهما. أول انطباع نحصل عليه هو عن ملء سخاء النعمة الإلهية كما هي معروضة في مثل العشاء العظيم؛ ومن ثم نجد حقيقة للضمير بخصوص طريق التلمذة. إن قلوبنا المخادعة تميل إلى فصل هذين الأمرين عن بعضهما، لكن الله جمعهما معًا في الكتاب المقدس.</w:t>
      </w:r>
    </w:p>
    <w:p w14:paraId="2FFF3F2D" w14:textId="16EA2227" w:rsidR="0028544A" w:rsidRDefault="0028544A" w:rsidP="0028544A">
      <w:pPr>
        <w:rPr>
          <w:rtl/>
          <w:lang w:bidi="ar-SA"/>
        </w:rPr>
      </w:pPr>
      <w:r>
        <w:rPr>
          <w:rFonts w:hint="cs"/>
          <w:rtl/>
          <w:lang w:bidi="ar-SA"/>
        </w:rPr>
        <w:t xml:space="preserve">الرب كان في يوم السبت في بيت أحد الفريسيين مدعوًا إلى مائدة الطعام. هو لم ينسَ (وكم من المحتمل أن يحدث هذا)، بأنه كان شاهد الله في هذا العالم </w:t>
      </w:r>
      <w:r>
        <w:rPr>
          <w:rtl/>
          <w:lang w:bidi="ar-SA"/>
        </w:rPr>
        <w:t>–</w:t>
      </w:r>
      <w:r>
        <w:rPr>
          <w:rFonts w:hint="cs"/>
          <w:rtl/>
          <w:lang w:bidi="ar-SA"/>
        </w:rPr>
        <w:t xml:space="preserve"> على الرغم من أنه في تلك اللحظة كان ضيفًا في بيت شخص آخر. عينه الفاحصة لكل شيء لمحت الأنانية التي سادت هذا البيت. فيما تعلق بالضيوف، فقد جاهد الجسد ال</w:t>
      </w:r>
      <w:r w:rsidR="0009006C">
        <w:rPr>
          <w:rFonts w:hint="cs"/>
          <w:rtl/>
          <w:lang w:bidi="ar-SA"/>
        </w:rPr>
        <w:t xml:space="preserve">مسكين المعتد بنفسه أن يأخذ المكان الأول في جميعهم؛ وفيما تعلق برب البيت والمُضيف، فهذا كان قد دعا مجتمعًا كل فرد فيه كان بوسعه أن يرد له إحسانه بنفسه. الرب لام المجموعتين. كل ما كان من حوله كان يفتقر لروح النعمة </w:t>
      </w:r>
      <w:r w:rsidR="0009006C">
        <w:rPr>
          <w:rtl/>
          <w:lang w:bidi="ar-SA"/>
        </w:rPr>
        <w:t>–</w:t>
      </w:r>
      <w:r w:rsidR="0009006C">
        <w:rPr>
          <w:rFonts w:hint="cs"/>
          <w:rtl/>
          <w:lang w:bidi="ar-SA"/>
        </w:rPr>
        <w:t xml:space="preserve"> الأنا كان يسود في قلوبهم جميعًا.</w:t>
      </w:r>
    </w:p>
    <w:p w14:paraId="68AC3A06" w14:textId="058511C6" w:rsidR="0009006C" w:rsidRDefault="0009006C" w:rsidP="0009006C">
      <w:pPr>
        <w:rPr>
          <w:rtl/>
          <w:lang w:bidi="ar-SA"/>
        </w:rPr>
      </w:pPr>
      <w:r>
        <w:rPr>
          <w:rFonts w:hint="cs"/>
          <w:rtl/>
          <w:lang w:bidi="ar-SA"/>
        </w:rPr>
        <w:t>لقد عرض الرب على المُضيف بأنه إن كان يريد بأن يصنع هذه المائدة فالأفضل جدًا إن ملأ هذا البيت  بال</w:t>
      </w:r>
      <w:r w:rsidRPr="0009006C">
        <w:rPr>
          <w:rtl/>
          <w:lang w:bidi="ar-SA"/>
        </w:rPr>
        <w:t>ْمَسَاكِينَ وَالْجُدْعَ وَالْعُرْجَ وَالْعُمْيَ</w:t>
      </w:r>
      <w:r>
        <w:rPr>
          <w:rFonts w:hint="cs"/>
          <w:rtl/>
          <w:lang w:bidi="ar-SA"/>
        </w:rPr>
        <w:t xml:space="preserve"> وأن يتوقع المجازاة في قيامة الأبرار. إن قربان تقدمة الله لم يكن فيه عسل (لاويين 2: 11). الرب هنا كان ضيفًا، غير أن إظهار الاحترام الطبيعي لم يدفعه أن يمتنع عن التوبيخ الضروري واللائق. وفي احتجاجاته </w:t>
      </w:r>
      <w:r w:rsidR="00CE226D">
        <w:rPr>
          <w:rFonts w:hint="cs"/>
          <w:rtl/>
          <w:lang w:bidi="ar-SA"/>
        </w:rPr>
        <w:t>قدّم نعمة الله بمواجهة أنانية الإنسان. يبدو أن هذه الكلمات أغارت أحد الضيوف حيث قال: "</w:t>
      </w:r>
      <w:r w:rsidR="00CE226D" w:rsidRPr="00CE226D">
        <w:rPr>
          <w:rtl/>
          <w:lang w:bidi="ar-SA"/>
        </w:rPr>
        <w:t>«طُوبَى لِمَنْ يَأْكُلُ خُبْزًا فِي مَلَكُوتِ اللهِ»</w:t>
      </w:r>
      <w:r w:rsidR="00CE226D">
        <w:rPr>
          <w:rFonts w:hint="cs"/>
          <w:rtl/>
          <w:lang w:bidi="ar-SA"/>
        </w:rPr>
        <w:t>" وهذا قاده إلى المثل المعروف. آهٍ! مهما كان تقدير الإنسان لصوت النعمة فعند امتحان القلب لن تكون هناك معرفة حقيقية وتقدير حقيقي لما هو في قلب الله. عندما الله يدعو تُقدّم الأعذار؛ ومتى ما شاء أن يملأ البيت فلا بد وأن يفتش عن الضيوف بنفسه، نعم، وأن يلزمهم بالدخول.</w:t>
      </w:r>
    </w:p>
    <w:p w14:paraId="057CE523" w14:textId="656289D6" w:rsidR="00CE226D" w:rsidRPr="0028544A" w:rsidRDefault="00F375A3" w:rsidP="0009006C">
      <w:pPr>
        <w:rPr>
          <w:lang w:bidi="ar-SA"/>
        </w:rPr>
      </w:pPr>
      <w:r>
        <w:rPr>
          <w:rFonts w:hint="cs"/>
          <w:rtl/>
          <w:lang w:bidi="ar-SA"/>
        </w:rPr>
        <w:t>نعمة الله تُذكَر بصورة جذابة جدًا. الرب يقارنها بعشاء عظيم تم إعداده. لا ينقصه أي شيء؛ فقد أعدّته يد كريمة من كل الأمور الجيدة. في الأبدية مبدؤه هو: "</w:t>
      </w:r>
      <w:r w:rsidRPr="00F375A3">
        <w:rPr>
          <w:rtl/>
          <w:lang w:bidi="ar-SA"/>
        </w:rPr>
        <w:t>مَغْبُوطٌ هُوَ الْعَطَاءُ أَكْثَرُ مِنَ الأَخْذِ</w:t>
      </w:r>
      <w:r>
        <w:rPr>
          <w:rFonts w:hint="cs"/>
          <w:rtl/>
          <w:lang w:bidi="ar-SA"/>
        </w:rPr>
        <w:t>" (أعمال الرسل 20: 35). إن فسرنا هذا المثل، فأعتقد بأننا في الضيوف الذين دعوا أولاً</w:t>
      </w:r>
      <w:r w:rsidR="00606ED8" w:rsidRPr="00606ED8">
        <w:rPr>
          <w:rtl/>
        </w:rPr>
        <w:t xml:space="preserve"> </w:t>
      </w:r>
      <w:r w:rsidR="00606ED8" w:rsidRPr="00606ED8">
        <w:rPr>
          <w:rtl/>
          <w:lang w:bidi="ar-SA"/>
        </w:rPr>
        <w:t>نرى</w:t>
      </w:r>
      <w:r>
        <w:rPr>
          <w:rFonts w:hint="cs"/>
          <w:rtl/>
          <w:lang w:bidi="ar-SA"/>
        </w:rPr>
        <w:t xml:space="preserve"> قادة اليهود. </w:t>
      </w:r>
      <w:r w:rsidR="00606ED8">
        <w:rPr>
          <w:rFonts w:hint="cs"/>
          <w:rtl/>
          <w:lang w:bidi="ar-SA"/>
        </w:rPr>
        <w:t xml:space="preserve">فقلوبهم كانت في العالم، ولم يحدث أنهم تذوقوا الله ومسيحه. الحقل، الثيران والنساء قدّموا أعذارًا سريعة. عندما يكون العالم موجود في القلب ومهما كانت الصورة (والعالم له أشكال كثيرة)، عندها لن يكون هناك مكان </w:t>
      </w:r>
      <w:hyperlink r:id="rId5" w:anchor=":~:text=Wir%20sollten%20uns%20vor%20Augen%20halten%2C%20dass%20die%20Dinge%2C" w:history="1">
        <w:r w:rsidR="00606ED8" w:rsidRPr="00606ED8">
          <w:rPr>
            <w:rStyle w:val="Hyperlink"/>
            <w:rFonts w:hint="cs"/>
            <w:rtl/>
            <w:lang w:bidi="ar-SA"/>
          </w:rPr>
          <w:t>للمسيح</w:t>
        </w:r>
      </w:hyperlink>
      <w:r w:rsidR="00606ED8">
        <w:rPr>
          <w:rFonts w:hint="cs"/>
          <w:rtl/>
          <w:lang w:bidi="ar-SA"/>
        </w:rPr>
        <w:t xml:space="preserve">. </w:t>
      </w:r>
    </w:p>
    <w:sectPr w:rsidR="00CE226D" w:rsidRPr="0028544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626"/>
    <w:rsid w:val="0009006C"/>
    <w:rsid w:val="0028544A"/>
    <w:rsid w:val="00606ED8"/>
    <w:rsid w:val="00762970"/>
    <w:rsid w:val="008E0EC1"/>
    <w:rsid w:val="00AF6FE2"/>
    <w:rsid w:val="00BE5626"/>
    <w:rsid w:val="00CE226D"/>
    <w:rsid w:val="00F375A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23D31"/>
  <w15:chartTrackingRefBased/>
  <w15:docId w15:val="{179A99A5-DE65-41C8-B5AE-953F649C8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544A"/>
    <w:rPr>
      <w:color w:val="0563C1" w:themeColor="hyperlink"/>
      <w:u w:val="single"/>
    </w:rPr>
  </w:style>
  <w:style w:type="character" w:styleId="UnresolvedMention">
    <w:name w:val="Unresolved Mention"/>
    <w:basedOn w:val="DefaultParagraphFont"/>
    <w:uiPriority w:val="99"/>
    <w:semiHidden/>
    <w:unhideWhenUsed/>
    <w:rsid w:val="002854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398/gnade-und-juengerschaft" TargetMode="External"/><Relationship Id="rId4" Type="http://schemas.openxmlformats.org/officeDocument/2006/relationships/hyperlink" Target="https://www.bibelkommentare.de/kommentare/398/gnade-und-juengerschaf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3</cp:revision>
  <dcterms:created xsi:type="dcterms:W3CDTF">2024-05-27T11:06:00Z</dcterms:created>
  <dcterms:modified xsi:type="dcterms:W3CDTF">2024-05-27T11:40:00Z</dcterms:modified>
</cp:coreProperties>
</file>