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CF2985" w14:textId="53B98C13" w:rsidR="00051645" w:rsidRDefault="00000000">
      <w:pPr>
        <w:rPr>
          <w:rtl/>
        </w:rPr>
      </w:pPr>
      <w:r>
        <w:fldChar w:fldCharType="begin"/>
      </w:r>
      <w:r>
        <w:instrText>HYPERLINK "https://www.bibelkommentare.de/kommentare/167/betrachtung-ueber-den-propheten-hesekiel-synopsis"</w:instrText>
      </w:r>
      <w:r>
        <w:fldChar w:fldCharType="separate"/>
      </w:r>
      <w:r w:rsidR="00C529ED" w:rsidRPr="00C529ED">
        <w:rPr>
          <w:rStyle w:val="Hyperlink"/>
          <w:rtl/>
        </w:rPr>
        <w:t>سفر حزقيال</w:t>
      </w:r>
      <w:r>
        <w:rPr>
          <w:rStyle w:val="Hyperlink"/>
        </w:rPr>
        <w:fldChar w:fldCharType="end"/>
      </w:r>
    </w:p>
    <w:p w14:paraId="6D09D40F" w14:textId="657253CE" w:rsidR="00C529ED" w:rsidRDefault="00C529ED" w:rsidP="00C529ED">
      <w:pPr>
        <w:bidi w:val="0"/>
      </w:pPr>
      <w:r w:rsidRPr="00C529ED">
        <w:t>John Nelson Darby</w:t>
      </w:r>
    </w:p>
    <w:p w14:paraId="3B6DC4A0" w14:textId="5CA29E6F" w:rsidR="00C529ED" w:rsidRDefault="00C529ED">
      <w:pPr>
        <w:rPr>
          <w:rtl/>
          <w:lang w:bidi="ar-LB"/>
        </w:rPr>
      </w:pPr>
      <w:r>
        <w:rPr>
          <w:rFonts w:hint="cs"/>
          <w:rtl/>
          <w:lang w:bidi="ar-LB"/>
        </w:rPr>
        <w:t xml:space="preserve">إن النبي حزقيال كان </w:t>
      </w:r>
      <w:proofErr w:type="spellStart"/>
      <w:r>
        <w:rPr>
          <w:rFonts w:hint="cs"/>
          <w:rtl/>
          <w:lang w:bidi="ar-LB"/>
        </w:rPr>
        <w:t>مسبيًا</w:t>
      </w:r>
      <w:proofErr w:type="spellEnd"/>
      <w:r>
        <w:rPr>
          <w:rFonts w:hint="cs"/>
          <w:rtl/>
          <w:lang w:bidi="ar-LB"/>
        </w:rPr>
        <w:t xml:space="preserve"> بنفس الوقت مع </w:t>
      </w:r>
      <w:proofErr w:type="spellStart"/>
      <w:r w:rsidRPr="00C529ED">
        <w:rPr>
          <w:rtl/>
          <w:lang w:bidi="ar-LB"/>
        </w:rPr>
        <w:t>يُويَاكِينَ</w:t>
      </w:r>
      <w:proofErr w:type="spellEnd"/>
      <w:r>
        <w:rPr>
          <w:rFonts w:hint="cs"/>
          <w:rtl/>
          <w:lang w:bidi="ar-LB"/>
        </w:rPr>
        <w:t xml:space="preserve"> الملك؛ وأقل ما في الأمر كان أحد الذين سبوا في ذلك الحين. وقد اهتم باستمرار أن يحسب وقت تنب</w:t>
      </w:r>
      <w:r w:rsidR="003D309F">
        <w:rPr>
          <w:rFonts w:hint="cs"/>
          <w:rtl/>
          <w:lang w:bidi="ar-LB"/>
        </w:rPr>
        <w:t>ئ</w:t>
      </w:r>
      <w:r>
        <w:rPr>
          <w:rFonts w:hint="cs"/>
          <w:rtl/>
          <w:lang w:bidi="ar-LB"/>
        </w:rPr>
        <w:t xml:space="preserve">ه من ذلك الحدث الذي كان له ذات أهمية من أجل فهم الإعلانات التي حصل عليها. وإذ أن شعب الله كان </w:t>
      </w:r>
      <w:proofErr w:type="spellStart"/>
      <w:r>
        <w:rPr>
          <w:rFonts w:hint="cs"/>
          <w:rtl/>
          <w:lang w:bidi="ar-LB"/>
        </w:rPr>
        <w:t>مسبيًا</w:t>
      </w:r>
      <w:proofErr w:type="spellEnd"/>
      <w:r>
        <w:rPr>
          <w:rFonts w:hint="cs"/>
          <w:rtl/>
          <w:lang w:bidi="ar-LB"/>
        </w:rPr>
        <w:t xml:space="preserve"> بين الأمم لم يعُد النبي له أي اهتمام بالتواريخ وبملوك يهوذا أو إسرائيل. غير أنه نظر إلى إسرائيل ككل، وكل اهتمامات الأمة كانت أمام ناظري النبي. كما وأن احتلال أورشليم وسبي سكانها في عهد الملك </w:t>
      </w:r>
      <w:proofErr w:type="spellStart"/>
      <w:r>
        <w:rPr>
          <w:rFonts w:hint="cs"/>
          <w:rtl/>
          <w:lang w:bidi="ar-LB"/>
        </w:rPr>
        <w:t>صدقيا</w:t>
      </w:r>
      <w:proofErr w:type="spellEnd"/>
      <w:r w:rsidR="00734E75">
        <w:rPr>
          <w:rFonts w:hint="cs"/>
          <w:rtl/>
          <w:lang w:bidi="ar-LB"/>
        </w:rPr>
        <w:t xml:space="preserve"> لم يكن قد حدث</w:t>
      </w:r>
      <w:r w:rsidR="004655D4">
        <w:rPr>
          <w:rFonts w:hint="cs"/>
          <w:rtl/>
          <w:lang w:bidi="ar-LB"/>
        </w:rPr>
        <w:t>ت</w:t>
      </w:r>
      <w:r w:rsidR="00734E75">
        <w:rPr>
          <w:rFonts w:hint="cs"/>
          <w:rtl/>
          <w:lang w:bidi="ar-LB"/>
        </w:rPr>
        <w:t xml:space="preserve"> بعد، </w:t>
      </w:r>
      <w:r w:rsidR="003D309F">
        <w:rPr>
          <w:rFonts w:hint="cs"/>
          <w:rtl/>
          <w:lang w:bidi="ar-LB"/>
        </w:rPr>
        <w:t xml:space="preserve">أن هذه الحقيقة </w:t>
      </w:r>
      <w:r w:rsidR="00734E75">
        <w:rPr>
          <w:rFonts w:hint="cs"/>
          <w:rtl/>
          <w:lang w:bidi="ar-LB"/>
        </w:rPr>
        <w:t xml:space="preserve">استدعت للكشف عن رداءة هذا الملك والتي وصلت أعلى درجاتها من خلال تكبره. هذا لأن نبوخذنصّر قيّم القسَم الذي حُلف باسم الرب يهوه. فقد كان اعتماده على احترام هذا الاسم الذي كان يستحقه؛ وأما </w:t>
      </w:r>
      <w:proofErr w:type="spellStart"/>
      <w:r w:rsidR="00734E75">
        <w:rPr>
          <w:rFonts w:hint="cs"/>
          <w:rtl/>
          <w:lang w:bidi="ar-LB"/>
        </w:rPr>
        <w:t>صدقيا</w:t>
      </w:r>
      <w:proofErr w:type="spellEnd"/>
      <w:r w:rsidR="00734E75">
        <w:rPr>
          <w:rFonts w:hint="cs"/>
          <w:rtl/>
          <w:lang w:bidi="ar-LB"/>
        </w:rPr>
        <w:t xml:space="preserve"> فلم يُعِر له احترامه.</w:t>
      </w:r>
    </w:p>
    <w:p w14:paraId="1AF4028A" w14:textId="13EE4727" w:rsidR="000600C1" w:rsidRDefault="00C50F7B">
      <w:pPr>
        <w:rPr>
          <w:lang w:bidi="ar-LB"/>
        </w:rPr>
        <w:sectPr w:rsidR="000600C1" w:rsidSect="0065628F">
          <w:pgSz w:w="11906" w:h="16838"/>
          <w:pgMar w:top="1440" w:right="1440" w:bottom="1440" w:left="1440" w:header="708" w:footer="708" w:gutter="0"/>
          <w:cols w:space="708"/>
          <w:docGrid w:linePitch="360"/>
        </w:sectPr>
      </w:pPr>
      <w:proofErr w:type="spellStart"/>
      <w:r>
        <w:rPr>
          <w:rFonts w:hint="cs"/>
          <w:rtl/>
          <w:lang w:bidi="ar-LB"/>
        </w:rPr>
        <w:t>الإصحاحات</w:t>
      </w:r>
      <w:proofErr w:type="spellEnd"/>
      <w:r>
        <w:rPr>
          <w:rFonts w:hint="cs"/>
          <w:rtl/>
          <w:lang w:bidi="ar-LB"/>
        </w:rPr>
        <w:t xml:space="preserve"> الثلاث والعشرون الأولى تتخ</w:t>
      </w:r>
      <w:r w:rsidR="009D2C08">
        <w:rPr>
          <w:rFonts w:hint="cs"/>
          <w:rtl/>
          <w:lang w:bidi="ar-LB"/>
        </w:rPr>
        <w:t>ل</w:t>
      </w:r>
      <w:r>
        <w:rPr>
          <w:rFonts w:hint="cs"/>
          <w:rtl/>
          <w:lang w:bidi="ar-LB"/>
        </w:rPr>
        <w:t xml:space="preserve">لها شهادات من الله </w:t>
      </w:r>
      <w:r w:rsidR="009D2C08">
        <w:rPr>
          <w:rFonts w:hint="cs"/>
          <w:rtl/>
          <w:lang w:bidi="ar-LB"/>
        </w:rPr>
        <w:t>ضد</w:t>
      </w:r>
      <w:r>
        <w:rPr>
          <w:rFonts w:hint="cs"/>
          <w:rtl/>
          <w:lang w:bidi="ar-LB"/>
        </w:rPr>
        <w:t xml:space="preserve"> إسرائيل بصورة عامة و</w:t>
      </w:r>
      <w:r w:rsidR="009D2C08">
        <w:rPr>
          <w:rFonts w:hint="cs"/>
          <w:rtl/>
          <w:lang w:bidi="ar-LB"/>
        </w:rPr>
        <w:t>ضد</w:t>
      </w:r>
      <w:r>
        <w:rPr>
          <w:rFonts w:hint="cs"/>
          <w:rtl/>
          <w:lang w:bidi="ar-LB"/>
        </w:rPr>
        <w:t xml:space="preserve"> أورشليم بصورة خاصة. من ثم نسمع عن القضاء الذي سيقع على الشعوب المحيطة بها؛ ومن إصحاح 33 يعود النبي ليتناول موضوع إسرائيل ثانية، في أنه يُخبر عن تجديد علاقتها النهائي كما وعن دينونتها. </w:t>
      </w:r>
      <w:proofErr w:type="spellStart"/>
      <w:r w:rsidR="00995766">
        <w:rPr>
          <w:rFonts w:hint="cs"/>
          <w:rtl/>
          <w:lang w:bidi="ar-LB"/>
        </w:rPr>
        <w:t>الإصحاحات</w:t>
      </w:r>
      <w:proofErr w:type="spellEnd"/>
      <w:r w:rsidR="00995766">
        <w:rPr>
          <w:rFonts w:hint="cs"/>
          <w:rtl/>
          <w:lang w:bidi="ar-LB"/>
        </w:rPr>
        <w:t xml:space="preserve"> الأخيرة (إصحاح 40 حتى النهاية) تحتوي على وصف الهيكل المستقبلي كما وعلى تقسيم الأرض في نهاية الأيام.</w:t>
      </w:r>
    </w:p>
    <w:p w14:paraId="61EA93F8" w14:textId="2F5BD00C" w:rsidR="00734E75" w:rsidRDefault="00000000">
      <w:pPr>
        <w:rPr>
          <w:rtl/>
          <w:lang w:bidi="ar-LB"/>
        </w:rPr>
      </w:pPr>
      <w:hyperlink r:id="rId7" w:history="1">
        <w:r w:rsidR="000600C1" w:rsidRPr="000600C1">
          <w:rPr>
            <w:rStyle w:val="Hyperlink"/>
            <w:rFonts w:hint="cs"/>
            <w:rtl/>
            <w:lang w:bidi="ar-LB"/>
          </w:rPr>
          <w:t>إصحاح 1 - 3</w:t>
        </w:r>
      </w:hyperlink>
    </w:p>
    <w:p w14:paraId="4066DA18" w14:textId="6CDEE8CF" w:rsidR="000600C1" w:rsidRDefault="000600C1">
      <w:pPr>
        <w:rPr>
          <w:rtl/>
          <w:lang w:bidi="ar-LB"/>
        </w:rPr>
      </w:pPr>
      <w:r>
        <w:rPr>
          <w:rFonts w:hint="cs"/>
          <w:rtl/>
          <w:lang w:bidi="ar-LB"/>
        </w:rPr>
        <w:t xml:space="preserve">في الإصحاح الأول نجد مُعطًى تاريخيًا له صلة بالسنة التي احتُفل فيها بالفصح في عهد يوشيا الملك؛ ولا يمكنني أن </w:t>
      </w:r>
      <w:r w:rsidR="009D2C08">
        <w:rPr>
          <w:rFonts w:hint="cs"/>
          <w:rtl/>
          <w:lang w:bidi="ar-LB"/>
        </w:rPr>
        <w:t>أحدد</w:t>
      </w:r>
      <w:r>
        <w:rPr>
          <w:rFonts w:hint="cs"/>
          <w:rtl/>
          <w:lang w:bidi="ar-LB"/>
        </w:rPr>
        <w:t xml:space="preserve"> </w:t>
      </w:r>
      <w:r w:rsidR="009D2C08">
        <w:rPr>
          <w:rFonts w:hint="cs"/>
          <w:rtl/>
          <w:lang w:bidi="ar-LB"/>
        </w:rPr>
        <w:t>ال</w:t>
      </w:r>
      <w:r>
        <w:rPr>
          <w:rFonts w:hint="cs"/>
          <w:rtl/>
          <w:lang w:bidi="ar-LB"/>
        </w:rPr>
        <w:t xml:space="preserve">سبب </w:t>
      </w:r>
      <w:r w:rsidR="009D2C08" w:rsidRPr="009D2C08">
        <w:rPr>
          <w:rtl/>
          <w:lang w:bidi="ar-LB"/>
        </w:rPr>
        <w:t xml:space="preserve">صلة </w:t>
      </w:r>
      <w:r>
        <w:rPr>
          <w:rFonts w:hint="cs"/>
          <w:rtl/>
          <w:lang w:bidi="ar-LB"/>
        </w:rPr>
        <w:t>هذا بهذا الأمر. لقد كان الاعتقاد بأن الثلاثين سنة كان لها علاقة بسنة اليوبيل؛ غير أني لا يمكنني أن أتكلم في هذه النقطة بشكل يقيني. ولكن تُذكَر هنا ظروف أخرى بالغة الأهمية.</w:t>
      </w:r>
    </w:p>
    <w:p w14:paraId="62EC508F" w14:textId="39EB65B8" w:rsidR="00420C1D" w:rsidRDefault="00420C1D">
      <w:pPr>
        <w:rPr>
          <w:rtl/>
        </w:rPr>
      </w:pPr>
      <w:r>
        <w:rPr>
          <w:rFonts w:hint="cs"/>
          <w:rtl/>
          <w:lang w:bidi="ar-LB"/>
        </w:rPr>
        <w:t xml:space="preserve">عرش الله لا نراه في أورشليم، وإنما من دون أية صلة بالمدينة وبخارجها. إنه عرش عدالة الله العامة، والغير محدودة </w:t>
      </w:r>
      <w:r w:rsidR="00F07D01">
        <w:rPr>
          <w:rFonts w:hint="cs"/>
          <w:rtl/>
          <w:lang w:bidi="ar-LB"/>
        </w:rPr>
        <w:t xml:space="preserve">الذي منه هو يحكم المدينة بحد ذاتها أيضًا. النبوة تبدأ بوصف هذا العرش. إننا نرى العرش بالاستناد على عروض مصورة تصف صفات الله، والتي لأجلها استُخدمت الكائنات الأربعة بأنواعها المخلوقة على الأرض، وذلك أربعتهم متحدين في واحد، على الأقل </w:t>
      </w:r>
      <w:r w:rsidR="00F07D01" w:rsidRPr="001347FD">
        <w:rPr>
          <w:rFonts w:hint="cs"/>
          <w:rtl/>
          <w:lang w:bidi="ar-LB"/>
        </w:rPr>
        <w:t>رؤوسها</w:t>
      </w:r>
      <w:r w:rsidR="00F07D01">
        <w:rPr>
          <w:rFonts w:hint="cs"/>
          <w:rtl/>
          <w:lang w:bidi="ar-LB"/>
        </w:rPr>
        <w:t xml:space="preserve">. </w:t>
      </w:r>
      <w:r w:rsidR="001347FD">
        <w:rPr>
          <w:rFonts w:hint="cs"/>
          <w:rtl/>
          <w:lang w:bidi="ar-LB"/>
        </w:rPr>
        <w:t xml:space="preserve">وتكاد تكون هي ذات الرموز التي استخدمها </w:t>
      </w:r>
      <w:proofErr w:type="spellStart"/>
      <w:r w:rsidR="001347FD">
        <w:rPr>
          <w:rFonts w:hint="cs"/>
          <w:rtl/>
          <w:lang w:bidi="ar-LB"/>
        </w:rPr>
        <w:t>مبتكروا</w:t>
      </w:r>
      <w:proofErr w:type="spellEnd"/>
      <w:r w:rsidR="001347FD">
        <w:rPr>
          <w:rFonts w:hint="cs"/>
          <w:rtl/>
          <w:lang w:bidi="ar-LB"/>
        </w:rPr>
        <w:t xml:space="preserve"> عبادة الأصنام الأممي</w:t>
      </w:r>
      <w:r w:rsidR="00440C5F">
        <w:rPr>
          <w:rFonts w:hint="cs"/>
          <w:rtl/>
          <w:lang w:bidi="ar-LB"/>
        </w:rPr>
        <w:t>ي</w:t>
      </w:r>
      <w:r w:rsidR="001347FD">
        <w:rPr>
          <w:rFonts w:hint="cs"/>
          <w:rtl/>
          <w:lang w:bidi="ar-LB"/>
        </w:rPr>
        <w:t>ن في عرضهم لأصنامهم. فعبادة الأصنام الرسمية بدأت بتأمل الناس لصفاتِ الله كما ولصفات الكثير من الشخصيات وبالتالي عرضها وفقًا لهذا صوريًا. هذه الصفات أصبحت أصنامهم، وهي كان</w:t>
      </w:r>
      <w:r w:rsidR="009E40D6">
        <w:rPr>
          <w:rFonts w:hint="cs"/>
          <w:rtl/>
          <w:lang w:bidi="ar-LB"/>
        </w:rPr>
        <w:t>ت</w:t>
      </w:r>
      <w:r w:rsidR="001347FD">
        <w:rPr>
          <w:rFonts w:hint="cs"/>
          <w:rtl/>
          <w:lang w:bidi="ar-LB"/>
        </w:rPr>
        <w:t xml:space="preserve"> شياطين، والتي </w:t>
      </w:r>
      <w:r w:rsidR="009E40D6">
        <w:rPr>
          <w:rFonts w:hint="cs"/>
          <w:rtl/>
          <w:lang w:bidi="ar-LB"/>
        </w:rPr>
        <w:t>كانت هُدى للناس وبهذه الطريقة حصلت على سيادتها بحيث في الواقع ما قد حدث هو أن</w:t>
      </w:r>
      <w:r w:rsidR="00440C5F">
        <w:rPr>
          <w:rFonts w:hint="cs"/>
          <w:rtl/>
          <w:lang w:bidi="ar-LB"/>
        </w:rPr>
        <w:t xml:space="preserve"> عبد</w:t>
      </w:r>
      <w:r w:rsidR="009E40D6">
        <w:rPr>
          <w:rFonts w:hint="cs"/>
          <w:rtl/>
          <w:lang w:bidi="ar-LB"/>
        </w:rPr>
        <w:t xml:space="preserve"> الناس الشياطين. هذه العبادة سرعان ما غاصت إلى مستوى منخفض جدًا، حيث أن الناس جعلوا لهم صنمًا لكل ما كان من الممكن أن يكون غرضًا لرغباتهم أو مخاوفهم أو يتفق مع ما اشتهوه، والتي كان السبب فيها هي هذه الرغبات والمخاوف (ولكنه هنا أيضًا كان الشيطان الذي أنشأ هذه المشاعر في الناس وراعاها، ليحظى لنفسه بالسجود اللائق بالله وحده). </w:t>
      </w:r>
      <w:r w:rsidR="009E40D6">
        <w:rPr>
          <w:rtl/>
          <w:lang w:bidi="ar-LB"/>
        </w:rPr>
        <w:t>–</w:t>
      </w:r>
      <w:r w:rsidR="009E40D6">
        <w:rPr>
          <w:rFonts w:hint="cs"/>
          <w:rtl/>
          <w:lang w:bidi="ar-LB"/>
        </w:rPr>
        <w:t xml:space="preserve"> فالصفات المعروضة هنا بشكل مصور كانت فقط لله الوحيد، خالق ورأس كل خليقة؛ </w:t>
      </w:r>
      <w:r w:rsidR="000D41FA">
        <w:rPr>
          <w:rFonts w:hint="cs"/>
          <w:rtl/>
          <w:lang w:bidi="ar-LB"/>
        </w:rPr>
        <w:t>غير أنه على الرغم من قدرة سلطتها وإظهار جمالها في عملها، هي لم تكن إلا دعائم للعرش الجالس عليه إله الحق</w:t>
      </w:r>
      <w:r w:rsidR="000D41FA">
        <w:rPr>
          <w:rStyle w:val="FootnoteReference"/>
          <w:rtl/>
          <w:lang w:bidi="ar-LB"/>
        </w:rPr>
        <w:footnoteReference w:id="1"/>
      </w:r>
      <w:r w:rsidR="000D41FA">
        <w:rPr>
          <w:rFonts w:hint="cs"/>
          <w:rtl/>
        </w:rPr>
        <w:t xml:space="preserve">. مهما كانت الآنية التي استخدمها، فهي دائمًا قوة الله القديرة التي استُعلنت. فِطنة، قدرة، ثبات، سرعة في تنفيذ الأقضية، كما وتحريك كل مجريات الأحداث على الأرض </w:t>
      </w:r>
      <w:r w:rsidR="000D41FA">
        <w:rPr>
          <w:rtl/>
        </w:rPr>
        <w:t>–</w:t>
      </w:r>
      <w:r w:rsidR="000D41FA">
        <w:rPr>
          <w:rFonts w:hint="cs"/>
          <w:rtl/>
        </w:rPr>
        <w:t xml:space="preserve"> الكل كان متعلق بالعرش. </w:t>
      </w:r>
      <w:r w:rsidR="000503C3">
        <w:rPr>
          <w:rFonts w:hint="cs"/>
          <w:rtl/>
        </w:rPr>
        <w:t>الجلال، الحُكم والرعاية نجدها مجتمعة في تكوين عرش مجده. لكن كل آنية مجده كانت تحت "</w:t>
      </w:r>
      <w:r w:rsidR="00F02026" w:rsidRPr="00F02026">
        <w:rPr>
          <w:rtl/>
        </w:rPr>
        <w:t>الْمُقَبَّب</w:t>
      </w:r>
      <w:r w:rsidR="000503C3">
        <w:rPr>
          <w:rFonts w:hint="cs"/>
          <w:rtl/>
        </w:rPr>
        <w:t>"، الذي هو فوق الذي مجدوه. إنه الذي لم يعرفه الأمم.</w:t>
      </w:r>
    </w:p>
    <w:p w14:paraId="61F50F5D" w14:textId="3975AEAC" w:rsidR="000503C3" w:rsidRDefault="000503C3">
      <w:pPr>
        <w:rPr>
          <w:rtl/>
        </w:rPr>
      </w:pPr>
      <w:r>
        <w:rPr>
          <w:rFonts w:hint="cs"/>
          <w:rtl/>
        </w:rPr>
        <w:t>إن هذا العرش عرش يهوه الإله العلي والغير محدود شوهد في أرض الكلدانيين</w:t>
      </w:r>
      <w:r w:rsidR="00A458B7">
        <w:rPr>
          <w:rStyle w:val="FootnoteReference"/>
          <w:rtl/>
        </w:rPr>
        <w:footnoteReference w:id="2"/>
      </w:r>
      <w:r>
        <w:rPr>
          <w:rFonts w:hint="cs"/>
          <w:rtl/>
        </w:rPr>
        <w:t xml:space="preserve"> (في المكان الذي كان فيه النبي آنذاك) بين الأمم، ولكن ليس فيما بعد في أورشليم بارتباطه بالأرض. كما وفي العرش لا يوجد أي تجسيد لأي ناموس (إن جاز لي التعبير هكذا) كانت أمور العدالة</w:t>
      </w:r>
      <w:r w:rsidR="00C72CA8" w:rsidRPr="00C72CA8">
        <w:rPr>
          <w:rtl/>
        </w:rPr>
        <w:t xml:space="preserve"> تُجرى</w:t>
      </w:r>
      <w:r>
        <w:rPr>
          <w:rFonts w:hint="cs"/>
          <w:rtl/>
        </w:rPr>
        <w:t xml:space="preserve"> بشكل مباشر بحسبه. لذا صوت الله أيضًا يكلم حزقيال كـ"ابن الإنسان"، بما كان يتفق مع وصف طابع شهادة الله آنذاك، لأنه تكلم بالانفراد عن شعبه كمَن لم يعُد </w:t>
      </w:r>
      <w:r w:rsidR="00C72CA8">
        <w:rPr>
          <w:rFonts w:hint="cs"/>
          <w:rtl/>
        </w:rPr>
        <w:t>ساكنًا وسطهم وإنما على عكس ذلك قضى لهم من عرش حُكمه الغير محدود. إنه لقب المسيح بذاته إن نظرنا إليه كالذي رفضه إسرائيل وقد عُزل عنه، مع أنه لن يتوقف أبدًا عن ذِكر هذا الشعب بالبركة في نعمته. بهذا الشكل هي صلة النبي بمكانة المسيح. حينما كان المسيح مرفوضًا من إسرائيل لم يُرِد أن يسمح لتلاميذه فيما بعد بأن يخبروا عنه كالمسيح (لوقا 9)، لأنه كان على ابن الإنسان أن يتألم.</w:t>
      </w:r>
    </w:p>
    <w:p w14:paraId="560FE5CE" w14:textId="00417106" w:rsidR="00C72CA8" w:rsidRDefault="00C72CA8">
      <w:pPr>
        <w:rPr>
          <w:rtl/>
        </w:rPr>
      </w:pPr>
      <w:r>
        <w:rPr>
          <w:rFonts w:hint="cs"/>
          <w:rtl/>
        </w:rPr>
        <w:t xml:space="preserve">وطبقًا للشهادة وكمثال فيما تعلق بمكانته كنبي، حدث ذات الأمر في وضع حزقيال. فإذ الله كان مرفوضًا </w:t>
      </w:r>
      <w:r w:rsidR="00CE67AE">
        <w:rPr>
          <w:rFonts w:hint="cs"/>
          <w:rtl/>
        </w:rPr>
        <w:t>اتحد</w:t>
      </w:r>
      <w:r>
        <w:rPr>
          <w:rFonts w:hint="cs"/>
          <w:rtl/>
        </w:rPr>
        <w:t xml:space="preserve"> نبيه </w:t>
      </w:r>
      <w:r w:rsidR="00CE67AE">
        <w:rPr>
          <w:rFonts w:hint="cs"/>
          <w:rtl/>
        </w:rPr>
        <w:t>ب</w:t>
      </w:r>
      <w:r>
        <w:rPr>
          <w:rFonts w:hint="cs"/>
          <w:rtl/>
        </w:rPr>
        <w:t xml:space="preserve">ذات المكانة </w:t>
      </w:r>
      <w:r w:rsidR="00CE67AE">
        <w:rPr>
          <w:rFonts w:hint="cs"/>
          <w:rtl/>
        </w:rPr>
        <w:t>مع عرشه ليحكم على كل الأمة وبالأخص على أورشليم؛ وبنفس الوقت أخبر (بالنسبة للإيمان) بتجديد علاقتهم بالنعمة. وكانت إرساليته من الرب يهوه إلى شعب متمرد ليقول لهم، بأن الرب يهوه تكلم حتى وإن لم يريدوا أن يسمعوا. إن الدينونة ستكشف بأنه كان في وسطهم نبي. إن شهادته الأولى كانت تتضمن نواح وأنين وصراخ أوجاع؛ وبالرغم من ذلك فخبر كلمة الله إن نظرنا إليها كإعلان منه ما بينه والإنسان، هي دائمًا كلها حلاوة (انظر حزقيال 3: 1- 3).</w:t>
      </w:r>
    </w:p>
    <w:p w14:paraId="5C786545" w14:textId="0C8F7C77" w:rsidR="00FA53D9" w:rsidRDefault="00FA53D9">
      <w:pPr>
        <w:rPr>
          <w:rtl/>
        </w:rPr>
      </w:pPr>
      <w:r>
        <w:rPr>
          <w:rFonts w:hint="cs"/>
          <w:rtl/>
        </w:rPr>
        <w:t>من ثم في الإصحاح الثالث توضَع بعض المبادئ المهمة المتعلقة بروابط الله بإسرائيل.</w:t>
      </w:r>
    </w:p>
    <w:p w14:paraId="4AC68AE5" w14:textId="166AA1AC" w:rsidR="00FA53D9" w:rsidRDefault="00FA53D9">
      <w:pPr>
        <w:rPr>
          <w:rtl/>
        </w:rPr>
      </w:pPr>
      <w:r>
        <w:rPr>
          <w:rFonts w:hint="cs"/>
          <w:rtl/>
        </w:rPr>
        <w:t>قبل أن نستمر</w:t>
      </w:r>
      <w:r w:rsidR="004E78B1">
        <w:rPr>
          <w:rFonts w:hint="cs"/>
          <w:rtl/>
        </w:rPr>
        <w:t xml:space="preserve">، لا بد لنا أن نذكر صفة أخرى يتميز بها سفر حزقيال عن سفر إرمياء. الأخير توجهه هو مباشرة إلى معاصريه، أي إلى شعب الله، وهذا في شهادة مهدت طريقها أولاً بقلب النبي المنسحق والمجروح وبالتالي آلت إلى الكشف عن أناة الله في وضح النهار، الذي دعا الشعب حتى إلى اللحظة الأخيرة ليتوب. مع حزقيال </w:t>
      </w:r>
      <w:r w:rsidR="001D0D9E">
        <w:rPr>
          <w:rFonts w:hint="cs"/>
          <w:rtl/>
        </w:rPr>
        <w:t>كان</w:t>
      </w:r>
      <w:r w:rsidR="008D1CA6" w:rsidRPr="008D1CA6">
        <w:rPr>
          <w:rtl/>
        </w:rPr>
        <w:t xml:space="preserve"> الأمر</w:t>
      </w:r>
      <w:r w:rsidR="001D0D9E">
        <w:rPr>
          <w:rFonts w:hint="cs"/>
          <w:rtl/>
        </w:rPr>
        <w:t xml:space="preserve"> مختلفًا</w:t>
      </w:r>
      <w:r w:rsidR="004E78B1">
        <w:rPr>
          <w:rFonts w:hint="cs"/>
          <w:rtl/>
        </w:rPr>
        <w:t xml:space="preserve">. إنه يُلفت الانتباه إلى ما يُحتم الإتيان بالدينونة. صحيح أنه </w:t>
      </w:r>
      <w:r w:rsidR="001D0D9E">
        <w:rPr>
          <w:rFonts w:hint="cs"/>
          <w:rtl/>
        </w:rPr>
        <w:t>كان مُرسل</w:t>
      </w:r>
      <w:r w:rsidR="004E78B1">
        <w:rPr>
          <w:rFonts w:hint="cs"/>
          <w:rtl/>
        </w:rPr>
        <w:t xml:space="preserve"> إلى إسرائيل، ولكنه إسرائيل في حالته </w:t>
      </w:r>
      <w:proofErr w:type="spellStart"/>
      <w:r w:rsidR="004E78B1">
        <w:rPr>
          <w:rFonts w:hint="cs"/>
          <w:rtl/>
        </w:rPr>
        <w:t>المتقسية</w:t>
      </w:r>
      <w:proofErr w:type="spellEnd"/>
      <w:r w:rsidR="004E78B1">
        <w:rPr>
          <w:rFonts w:hint="cs"/>
          <w:rtl/>
        </w:rPr>
        <w:t>. فمه أُغلق نحو هذا الشعب؛ فهو لن يقوّمه. صحيح أنه في اللحظة المناسبة متى ما فتح الرب يهوه فمه ليعرّف الشعب بوجود نبي وسطه، سي</w:t>
      </w:r>
      <w:r w:rsidR="00ED019F">
        <w:rPr>
          <w:rFonts w:hint="cs"/>
          <w:rtl/>
        </w:rPr>
        <w:t xml:space="preserve">شرح لهذا الشعب أمورًا محددة من الرب يهوه؛ غير أنه لا يتّجه أبدًا بشكل مباشر إلى قلب الشعب وضميره، كما لو كان الله لا زال مشغولاً به. الرب يهوه كشف له عن خطايا شعبه، التي أرغمته على رفضه لإسرائيل وأن لا يعود يتعامل معه بحسب مبادئ عدله التي عينها بنفسه. إنه لم يكن بوسعه فيما بعد أن يُعامله كشعب معترف </w:t>
      </w:r>
      <w:r w:rsidR="00ED019F" w:rsidRPr="008D1CA6">
        <w:rPr>
          <w:rFonts w:hint="cs"/>
          <w:rtl/>
        </w:rPr>
        <w:t>به</w:t>
      </w:r>
      <w:r w:rsidR="00ED019F">
        <w:rPr>
          <w:rFonts w:hint="cs"/>
          <w:rtl/>
        </w:rPr>
        <w:t xml:space="preserve">. </w:t>
      </w:r>
      <w:r w:rsidR="008D1CA6">
        <w:rPr>
          <w:rFonts w:hint="cs"/>
          <w:rtl/>
        </w:rPr>
        <w:t>الله بنفسه قدّم تصرّف إسرائيل كسبب لقطع روابطه به. بنفس الوقت أُعلنت مبادئ جديدة لتكون حُكمًا للسلوك. إني هنا أتكلم فقط عن ذلك الجزء من النبوة التي موضوعها عن إسرائيل؛ هذا لأن السفر يحتوي عدا عن ذلك على مختلف الأقضية التي سيتم تنفيذها على الأمم، كما وعلى وصف لحالة الأرض والهيكل في المستقبل؛ غير أن النبي كان عليه أن يخبر الشعب بهذا الوصف فقط من بعد توبته.</w:t>
      </w:r>
    </w:p>
    <w:p w14:paraId="2035875A" w14:textId="349E3DB8" w:rsidR="008D1CA6" w:rsidRDefault="008D1CA6">
      <w:pPr>
        <w:rPr>
          <w:rtl/>
        </w:rPr>
      </w:pPr>
      <w:r>
        <w:rPr>
          <w:rFonts w:hint="cs"/>
          <w:rtl/>
        </w:rPr>
        <w:t>في الإصحاح 3 يشهد الرب، بأن إسرائيل س</w:t>
      </w:r>
      <w:r w:rsidR="00440C5F">
        <w:rPr>
          <w:rFonts w:hint="cs"/>
          <w:rtl/>
        </w:rPr>
        <w:t>ي</w:t>
      </w:r>
      <w:r>
        <w:rPr>
          <w:rFonts w:hint="cs"/>
          <w:rtl/>
        </w:rPr>
        <w:t>زداد قساوة أكثر من أي شعب أممي؛ فه</w:t>
      </w:r>
      <w:r w:rsidR="00440C5F">
        <w:rPr>
          <w:rFonts w:hint="cs"/>
          <w:rtl/>
        </w:rPr>
        <w:t>م</w:t>
      </w:r>
      <w:r>
        <w:rPr>
          <w:rFonts w:hint="cs"/>
          <w:rtl/>
        </w:rPr>
        <w:t xml:space="preserve"> "</w:t>
      </w:r>
      <w:r w:rsidR="0024773E" w:rsidRPr="0024773E">
        <w:rPr>
          <w:rtl/>
        </w:rPr>
        <w:t xml:space="preserve"> صِلاَبُ الْجِبَاهِ وَقُسَاةُ الْقُلُوبِ</w:t>
      </w:r>
      <w:r w:rsidR="0024773E">
        <w:rPr>
          <w:rFonts w:hint="cs"/>
          <w:rtl/>
        </w:rPr>
        <w:t>". فلكي يوصل حزقيال الخبر الموكل به، وهو: "</w:t>
      </w:r>
      <w:r w:rsidR="0024773E" w:rsidRPr="0024773E">
        <w:rPr>
          <w:rFonts w:hint="cs"/>
          <w:rtl/>
        </w:rPr>
        <w:t>إِنْ</w:t>
      </w:r>
      <w:r w:rsidR="0024773E" w:rsidRPr="0024773E">
        <w:rPr>
          <w:rtl/>
        </w:rPr>
        <w:t xml:space="preserve"> </w:t>
      </w:r>
      <w:r w:rsidR="0024773E" w:rsidRPr="0024773E">
        <w:rPr>
          <w:rFonts w:hint="cs"/>
          <w:rtl/>
        </w:rPr>
        <w:t>سَمِعُوا</w:t>
      </w:r>
      <w:r w:rsidR="0024773E" w:rsidRPr="0024773E">
        <w:rPr>
          <w:rtl/>
        </w:rPr>
        <w:t xml:space="preserve"> </w:t>
      </w:r>
      <w:r w:rsidR="0024773E" w:rsidRPr="0024773E">
        <w:rPr>
          <w:rFonts w:hint="cs"/>
          <w:rtl/>
        </w:rPr>
        <w:t>وَإِنِ</w:t>
      </w:r>
      <w:r w:rsidR="0024773E" w:rsidRPr="0024773E">
        <w:rPr>
          <w:rtl/>
        </w:rPr>
        <w:t xml:space="preserve"> </w:t>
      </w:r>
      <w:r w:rsidR="0024773E" w:rsidRPr="0024773E">
        <w:rPr>
          <w:rFonts w:hint="cs"/>
          <w:rtl/>
        </w:rPr>
        <w:t>امْتَنَعُوا</w:t>
      </w:r>
      <w:r w:rsidR="0024773E">
        <w:rPr>
          <w:rFonts w:hint="cs"/>
          <w:rtl/>
        </w:rPr>
        <w:t>"، للشعب، كان يجب أيضًا أن</w:t>
      </w:r>
      <w:r w:rsidR="00440C5F">
        <w:rPr>
          <w:rFonts w:hint="cs"/>
          <w:rtl/>
        </w:rPr>
        <w:t xml:space="preserve"> يتقسى</w:t>
      </w:r>
      <w:r w:rsidR="0024773E" w:rsidRPr="0024773E">
        <w:rPr>
          <w:rtl/>
        </w:rPr>
        <w:t xml:space="preserve"> جبينه</w:t>
      </w:r>
      <w:r w:rsidR="0024773E">
        <w:rPr>
          <w:rFonts w:hint="cs"/>
          <w:rtl/>
        </w:rPr>
        <w:t xml:space="preserve"> </w:t>
      </w:r>
      <w:r w:rsidR="00CF3854">
        <w:rPr>
          <w:rFonts w:hint="cs"/>
          <w:rtl/>
        </w:rPr>
        <w:t>ل</w:t>
      </w:r>
      <w:r w:rsidR="0024773E">
        <w:rPr>
          <w:rFonts w:hint="cs"/>
          <w:rtl/>
        </w:rPr>
        <w:t xml:space="preserve">يصبح كالماس. قوة الروح حملته إلى وسط </w:t>
      </w:r>
      <w:proofErr w:type="spellStart"/>
      <w:r w:rsidR="0024773E">
        <w:rPr>
          <w:rFonts w:hint="cs"/>
          <w:rtl/>
        </w:rPr>
        <w:t>مسبيي</w:t>
      </w:r>
      <w:proofErr w:type="spellEnd"/>
      <w:r w:rsidR="0024773E">
        <w:rPr>
          <w:rFonts w:hint="cs"/>
          <w:rtl/>
        </w:rPr>
        <w:t xml:space="preserve"> تل أبيب. مع أن بيت إسرائيل كان </w:t>
      </w:r>
      <w:proofErr w:type="spellStart"/>
      <w:r w:rsidR="0024773E">
        <w:rPr>
          <w:rFonts w:hint="cs"/>
          <w:rtl/>
        </w:rPr>
        <w:t>متقسيًا</w:t>
      </w:r>
      <w:proofErr w:type="spellEnd"/>
      <w:r w:rsidR="0024773E">
        <w:rPr>
          <w:rFonts w:hint="cs"/>
          <w:rtl/>
        </w:rPr>
        <w:t xml:space="preserve">، إلا أن الله ميّز بقية منه، وهذا كما يلي: لقد كان على النبي أن يحذّر أفرادًا؛ فهو كان مُعدًا لهذا العمل. إن تم قبول كلامه فسينجو كل مَن استمع له. حزقيال كان مسؤولاً على تتميم هذا العمل؛ غير أن كل </w:t>
      </w:r>
      <w:r w:rsidR="00CF3854">
        <w:rPr>
          <w:rFonts w:hint="cs"/>
          <w:rtl/>
        </w:rPr>
        <w:t>مَن</w:t>
      </w:r>
      <w:r w:rsidR="0024773E">
        <w:rPr>
          <w:rFonts w:hint="cs"/>
          <w:rtl/>
        </w:rPr>
        <w:t xml:space="preserve"> سمع الكلمة كان عليه أن يتحمل عواقب تصرفه. بهذا الشكل لم تُدَن إسرائيل فيما بعد كجماعة واحدة، كما كان ال</w:t>
      </w:r>
      <w:r w:rsidR="000E54F8">
        <w:rPr>
          <w:rFonts w:hint="cs"/>
          <w:rtl/>
        </w:rPr>
        <w:t>حال فيما مضى، حينما كل شيء كان متعلقًا بتصرف الأمة أو الملك العلني. إسرائيل كشعب، تمرّد؛ ولكن كل مَن أمال أذنه للكلمة كان يحيا. الله تعامل بأناته ونعمته.</w:t>
      </w:r>
    </w:p>
    <w:p w14:paraId="471B5938" w14:textId="77777777" w:rsidR="000A60E2" w:rsidRDefault="000E54F8">
      <w:pPr>
        <w:sectPr w:rsidR="000A60E2" w:rsidSect="0065628F">
          <w:footnotePr>
            <w:numRestart w:val="eachSect"/>
          </w:footnotePr>
          <w:pgSz w:w="11906" w:h="16838"/>
          <w:pgMar w:top="1440" w:right="1440" w:bottom="1440" w:left="1440" w:header="708" w:footer="708" w:gutter="0"/>
          <w:cols w:space="708"/>
          <w:docGrid w:linePitch="360"/>
        </w:sectPr>
      </w:pPr>
      <w:r>
        <w:rPr>
          <w:rFonts w:hint="cs"/>
          <w:rtl/>
        </w:rPr>
        <w:t xml:space="preserve">ومن جديد رأى النبي في عزلته مجد الرب يهوه، وأمره الروح، أن لا يخرج بين الشعب، وإنما بالحري أن يكون محبوسًا في بيته. الله كان سيجعل لسانه يلتصق بحلقه؛ </w:t>
      </w:r>
      <w:r w:rsidR="00BE5954">
        <w:rPr>
          <w:rFonts w:hint="cs"/>
          <w:rtl/>
        </w:rPr>
        <w:t>ف</w:t>
      </w:r>
      <w:r>
        <w:rPr>
          <w:rFonts w:hint="cs"/>
          <w:rtl/>
        </w:rPr>
        <w:t>لأنه كان شعبًا معاندًا</w:t>
      </w:r>
      <w:r w:rsidR="00BE5954">
        <w:rPr>
          <w:rFonts w:hint="cs"/>
          <w:rtl/>
        </w:rPr>
        <w:t>،</w:t>
      </w:r>
      <w:r>
        <w:rPr>
          <w:rFonts w:hint="cs"/>
          <w:rtl/>
        </w:rPr>
        <w:t xml:space="preserve"> لم يكن يجب أن يُحذّر فيما بعد. الله كان سيفتح فم النبي متى ما استحسن الأمر، وعندها كان عليه أن يقدم للشعب كلمة الرب يهوه بصورة حازمة تمامًا. وكل مَن أراد أن يسمع، سمع! الرب يهوه لم يعُد يريد أن يقدم عروضه بالمحبة كما فعل في الماضي.</w:t>
      </w:r>
    </w:p>
    <w:p w14:paraId="4A6B1DC3" w14:textId="5B6399AE" w:rsidR="000E54F8" w:rsidRDefault="00000000">
      <w:pPr>
        <w:rPr>
          <w:rtl/>
        </w:rPr>
      </w:pPr>
      <w:hyperlink r:id="rId8" w:history="1">
        <w:r w:rsidR="000A60E2" w:rsidRPr="000A60E2">
          <w:rPr>
            <w:rStyle w:val="Hyperlink"/>
            <w:rFonts w:hint="cs"/>
            <w:rtl/>
          </w:rPr>
          <w:t>إصحاح 4 - 7</w:t>
        </w:r>
      </w:hyperlink>
    </w:p>
    <w:p w14:paraId="55EA11F5" w14:textId="0D473C89" w:rsidR="00F33244" w:rsidRDefault="00F33244">
      <w:r>
        <w:rPr>
          <w:rFonts w:hint="cs"/>
          <w:rtl/>
        </w:rPr>
        <w:t>عدا عن القضاء العام الذي أنبأ به الله على حالة إسرائيل، والذي كان الحديث عنه إلى الآن، كما ه</w:t>
      </w:r>
      <w:r w:rsidR="0031713C">
        <w:rPr>
          <w:rFonts w:hint="cs"/>
          <w:rtl/>
        </w:rPr>
        <w:t>ي</w:t>
      </w:r>
      <w:r>
        <w:rPr>
          <w:rFonts w:hint="cs"/>
          <w:rtl/>
        </w:rPr>
        <w:t xml:space="preserve"> أورشليم بوجه خاص ظاهرة أمام الله الذي احتقرته؛ من ثم في هذه المدينة كان قد ظهر كل شر الشعب والذي كان قد وصل الآن إلى أعلى مستوياته. </w:t>
      </w:r>
      <w:r w:rsidR="0031713C">
        <w:rPr>
          <w:rFonts w:hint="cs"/>
          <w:rtl/>
        </w:rPr>
        <w:t>ل</w:t>
      </w:r>
      <w:r>
        <w:rPr>
          <w:rFonts w:hint="cs"/>
          <w:rtl/>
        </w:rPr>
        <w:t xml:space="preserve">قد كان على النبي أن يصوّر حصار أورشليم وأن يُشير بذلك بشكل خاص إلى سني مدة شرهم، والتي في الأخير ستستحضر الدينونة؛ وقد كانت هذه لإسرائيل بصورة عامة 390 سنة، وليهوذا 40 سنة. واضح أن هذه الأزمنة المُحددة ليس لها علاقة لا بمدة مملكة إسرائيل المنفصلة عن يهوذا، ولا بمدة مملكة يهوذا؛ لأن الأولى كانت </w:t>
      </w:r>
      <w:r w:rsidR="0031713C">
        <w:rPr>
          <w:rFonts w:hint="cs"/>
          <w:rtl/>
        </w:rPr>
        <w:t>مدتها</w:t>
      </w:r>
      <w:r>
        <w:rPr>
          <w:rFonts w:hint="cs"/>
          <w:rtl/>
        </w:rPr>
        <w:t xml:space="preserve"> 254 سنة</w:t>
      </w:r>
      <w:r w:rsidR="0031713C" w:rsidRPr="0031713C">
        <w:rPr>
          <w:rtl/>
        </w:rPr>
        <w:t xml:space="preserve"> </w:t>
      </w:r>
      <w:r w:rsidR="0031713C" w:rsidRPr="0031713C">
        <w:rPr>
          <w:rtl/>
        </w:rPr>
        <w:t>فقط</w:t>
      </w:r>
      <w:r>
        <w:rPr>
          <w:rFonts w:hint="cs"/>
          <w:rtl/>
        </w:rPr>
        <w:t>، بينما مملكة</w:t>
      </w:r>
      <w:r w:rsidR="0031713C" w:rsidRPr="0031713C">
        <w:rPr>
          <w:rtl/>
        </w:rPr>
        <w:t xml:space="preserve"> </w:t>
      </w:r>
      <w:r w:rsidR="0031713C" w:rsidRPr="0031713C">
        <w:rPr>
          <w:rtl/>
        </w:rPr>
        <w:t>يهوذا</w:t>
      </w:r>
      <w:r>
        <w:rPr>
          <w:rFonts w:hint="cs"/>
          <w:rtl/>
        </w:rPr>
        <w:t xml:space="preserve"> </w:t>
      </w:r>
      <w:r w:rsidR="0031713C">
        <w:rPr>
          <w:rFonts w:hint="cs"/>
          <w:rtl/>
        </w:rPr>
        <w:t xml:space="preserve">استمرت </w:t>
      </w:r>
      <w:r>
        <w:rPr>
          <w:rFonts w:hint="cs"/>
          <w:rtl/>
        </w:rPr>
        <w:t xml:space="preserve">134 سنة إضافية من بعد سقوط السامرة. </w:t>
      </w:r>
      <w:r w:rsidR="0031713C" w:rsidRPr="0031713C">
        <w:rPr>
          <w:rtl/>
        </w:rPr>
        <w:t>وبناءً على ذلك، يبدو أن الفترة الأطول المذكورة هي من انفصال الأسباط العشرة في عهد رحبعام إلى السبي البابلي.</w:t>
      </w:r>
      <w:r w:rsidR="0031713C" w:rsidRPr="0031713C">
        <w:rPr>
          <w:rtl/>
        </w:rPr>
        <w:t xml:space="preserve"> </w:t>
      </w:r>
      <w:r w:rsidR="0031713C" w:rsidRPr="0031713C">
        <w:rPr>
          <w:rtl/>
        </w:rPr>
        <w:t xml:space="preserve">وتعتبر تلك السنوات هي سنوات إسرائيل لأنها منذ لحظة الانفصال أصبحت مستقلة وتضم الجزء الرئيسي من الأمة، أما في عهد سليمان الذي دام أربعين سنة، فكانت يهوذا هي </w:t>
      </w:r>
      <w:hyperlink r:id="rId9" w:anchor=":~:text=Von%20der%20Zeit%20der%20Regierung%20Salomos%20ab%20w%C3%BCrde%20dann%20Juda%20unter%20dem%20allgemeinen%20Namen%20Israel%20mit%20einbegriffen%20sein.%20Dies%20entspricht%20der%20Gewohnheit%20Hesekiels%2C%20obgleich%20er%20auch%20bei%20bestimmten%20Veranlassungen%2C%20z.%20B.%20um%20der%20Stellung%20Zedekias" w:history="1">
        <w:r w:rsidR="0031713C" w:rsidRPr="0031713C">
          <w:rPr>
            <w:rStyle w:val="Hyperlink"/>
            <w:rtl/>
          </w:rPr>
          <w:t>الكل</w:t>
        </w:r>
      </w:hyperlink>
      <w:r w:rsidR="0031713C" w:rsidRPr="0031713C">
        <w:rPr>
          <w:rtl/>
        </w:rPr>
        <w:t>.</w:t>
      </w:r>
    </w:p>
    <w:sectPr w:rsidR="00F33244" w:rsidSect="0065628F">
      <w:footnotePr>
        <w:numRestart w:val="eachSect"/>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F95F3C" w14:textId="77777777" w:rsidR="000227DF" w:rsidRDefault="000227DF" w:rsidP="000D41FA">
      <w:pPr>
        <w:spacing w:after="0" w:line="240" w:lineRule="auto"/>
      </w:pPr>
      <w:r>
        <w:separator/>
      </w:r>
    </w:p>
  </w:endnote>
  <w:endnote w:type="continuationSeparator" w:id="0">
    <w:p w14:paraId="76EBEBE6" w14:textId="77777777" w:rsidR="000227DF" w:rsidRDefault="000227DF" w:rsidP="000D4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5AABBD" w14:textId="77777777" w:rsidR="000227DF" w:rsidRDefault="000227DF" w:rsidP="000D41FA">
      <w:pPr>
        <w:spacing w:after="0" w:line="240" w:lineRule="auto"/>
      </w:pPr>
      <w:r>
        <w:separator/>
      </w:r>
    </w:p>
  </w:footnote>
  <w:footnote w:type="continuationSeparator" w:id="0">
    <w:p w14:paraId="0C9BF8B6" w14:textId="77777777" w:rsidR="000227DF" w:rsidRDefault="000227DF" w:rsidP="000D41FA">
      <w:pPr>
        <w:spacing w:after="0" w:line="240" w:lineRule="auto"/>
      </w:pPr>
      <w:r>
        <w:continuationSeparator/>
      </w:r>
    </w:p>
  </w:footnote>
  <w:footnote w:id="1">
    <w:p w14:paraId="606E9EFB" w14:textId="7BDF95EA" w:rsidR="000D41FA" w:rsidRPr="000D41FA" w:rsidRDefault="000D41FA">
      <w:pPr>
        <w:pStyle w:val="FootnoteText"/>
        <w:rPr>
          <w:b/>
          <w:bCs/>
          <w:sz w:val="26"/>
          <w:szCs w:val="26"/>
        </w:rPr>
      </w:pPr>
      <w:r w:rsidRPr="000D41FA">
        <w:rPr>
          <w:rStyle w:val="FootnoteReference"/>
          <w:b/>
          <w:bCs/>
          <w:sz w:val="26"/>
          <w:szCs w:val="26"/>
        </w:rPr>
        <w:footnoteRef/>
      </w:r>
      <w:r w:rsidRPr="000D41FA">
        <w:rPr>
          <w:b/>
          <w:bCs/>
          <w:sz w:val="26"/>
          <w:szCs w:val="26"/>
          <w:rtl/>
        </w:rPr>
        <w:t xml:space="preserve"> </w:t>
      </w:r>
      <w:r w:rsidR="00A458B7" w:rsidRPr="00A458B7">
        <w:rPr>
          <w:b/>
          <w:bCs/>
          <w:sz w:val="26"/>
          <w:szCs w:val="26"/>
          <w:rtl/>
        </w:rPr>
        <w:t xml:space="preserve">إن العلماء غير المؤمنين الذين تنقصهم معرفة الله، وبالتالي غير قادرين على رفع آرائهم فوق ما هو أرضي ومحسوس بالحواس، </w:t>
      </w:r>
      <w:r w:rsidR="007A34EF">
        <w:rPr>
          <w:rFonts w:hint="cs"/>
          <w:b/>
          <w:bCs/>
          <w:sz w:val="26"/>
          <w:szCs w:val="26"/>
          <w:rtl/>
        </w:rPr>
        <w:t>أرادوا أن يروا</w:t>
      </w:r>
      <w:r w:rsidR="00A458B7">
        <w:rPr>
          <w:rFonts w:hint="cs"/>
          <w:b/>
          <w:bCs/>
          <w:sz w:val="26"/>
          <w:szCs w:val="26"/>
          <w:rtl/>
        </w:rPr>
        <w:t xml:space="preserve"> </w:t>
      </w:r>
      <w:r w:rsidR="00A458B7" w:rsidRPr="00A458B7">
        <w:rPr>
          <w:b/>
          <w:bCs/>
          <w:sz w:val="26"/>
          <w:szCs w:val="26"/>
          <w:rtl/>
        </w:rPr>
        <w:t>في صور الثيران والأسود ذات الأجنحة والرؤوس البشرية التي وجدت في نينوى</w:t>
      </w:r>
      <w:r w:rsidR="007A34EF">
        <w:rPr>
          <w:rFonts w:hint="cs"/>
          <w:b/>
          <w:bCs/>
          <w:sz w:val="26"/>
          <w:szCs w:val="26"/>
          <w:rtl/>
        </w:rPr>
        <w:t>،</w:t>
      </w:r>
      <w:r w:rsidR="00A458B7" w:rsidRPr="00A458B7">
        <w:rPr>
          <w:b/>
          <w:bCs/>
          <w:sz w:val="26"/>
          <w:szCs w:val="26"/>
          <w:rtl/>
        </w:rPr>
        <w:t xml:space="preserve"> </w:t>
      </w:r>
      <w:r w:rsidR="007A34EF" w:rsidRPr="007A34EF">
        <w:rPr>
          <w:b/>
          <w:bCs/>
          <w:sz w:val="26"/>
          <w:szCs w:val="26"/>
          <w:rtl/>
        </w:rPr>
        <w:t>أصل رؤيا حزقيال</w:t>
      </w:r>
      <w:r w:rsidR="00A458B7" w:rsidRPr="00A458B7">
        <w:rPr>
          <w:b/>
          <w:bCs/>
          <w:sz w:val="26"/>
          <w:szCs w:val="26"/>
          <w:rtl/>
        </w:rPr>
        <w:t xml:space="preserve">: لكنهم مخطئون لأنهم لا يستطيعون أن يروا أو يعرفوا ذاك الذي </w:t>
      </w:r>
      <w:r w:rsidR="007A34EF">
        <w:rPr>
          <w:rFonts w:hint="cs"/>
          <w:b/>
          <w:bCs/>
          <w:sz w:val="26"/>
          <w:szCs w:val="26"/>
          <w:rtl/>
        </w:rPr>
        <w:t>تعرّش</w:t>
      </w:r>
      <w:r w:rsidR="00A458B7" w:rsidRPr="00A458B7">
        <w:rPr>
          <w:b/>
          <w:bCs/>
          <w:sz w:val="26"/>
          <w:szCs w:val="26"/>
          <w:rtl/>
        </w:rPr>
        <w:t xml:space="preserve"> على تلك الكائنات الحية. ليس </w:t>
      </w:r>
      <w:r w:rsidR="007A34EF">
        <w:rPr>
          <w:rFonts w:hint="cs"/>
          <w:b/>
          <w:bCs/>
          <w:sz w:val="26"/>
          <w:szCs w:val="26"/>
          <w:rtl/>
        </w:rPr>
        <w:t>لدي أي</w:t>
      </w:r>
      <w:r w:rsidR="00A458B7" w:rsidRPr="00A458B7">
        <w:rPr>
          <w:b/>
          <w:bCs/>
          <w:sz w:val="26"/>
          <w:szCs w:val="26"/>
          <w:rtl/>
        </w:rPr>
        <w:t xml:space="preserve"> شك أن تلك الصور تمثل في الأساس نفس الشيء مثل الكروبيم؛ لكن الأمم </w:t>
      </w:r>
      <w:r w:rsidR="007A34EF">
        <w:rPr>
          <w:rFonts w:hint="cs"/>
          <w:b/>
          <w:bCs/>
          <w:sz w:val="26"/>
          <w:szCs w:val="26"/>
          <w:rtl/>
        </w:rPr>
        <w:t>المساكين</w:t>
      </w:r>
      <w:r w:rsidR="00A458B7" w:rsidRPr="00A458B7">
        <w:rPr>
          <w:b/>
          <w:bCs/>
          <w:sz w:val="26"/>
          <w:szCs w:val="26"/>
          <w:rtl/>
        </w:rPr>
        <w:t xml:space="preserve">، الذين، مثل غير المؤمنين المذكورين أعلاه في </w:t>
      </w:r>
      <w:r w:rsidR="007A34EF">
        <w:rPr>
          <w:rFonts w:hint="cs"/>
          <w:b/>
          <w:bCs/>
          <w:sz w:val="26"/>
          <w:szCs w:val="26"/>
          <w:rtl/>
        </w:rPr>
        <w:t>ثقافتهم</w:t>
      </w:r>
      <w:r w:rsidR="00A458B7" w:rsidRPr="00A458B7">
        <w:rPr>
          <w:b/>
          <w:bCs/>
          <w:sz w:val="26"/>
          <w:szCs w:val="26"/>
          <w:rtl/>
        </w:rPr>
        <w:t xml:space="preserve">، سمحوا لأنفسهم أن ينخدعوا بالشيطان، وعبدوا ما كان تحت </w:t>
      </w:r>
      <w:r w:rsidR="00F02026">
        <w:rPr>
          <w:rFonts w:hint="cs"/>
          <w:b/>
          <w:bCs/>
          <w:sz w:val="26"/>
          <w:szCs w:val="26"/>
          <w:rtl/>
        </w:rPr>
        <w:t>"</w:t>
      </w:r>
      <w:r w:rsidR="00F02026" w:rsidRPr="00F02026">
        <w:rPr>
          <w:b/>
          <w:bCs/>
          <w:sz w:val="26"/>
          <w:szCs w:val="26"/>
          <w:rtl/>
        </w:rPr>
        <w:t>الْمُقَبَّب</w:t>
      </w:r>
      <w:r w:rsidR="00F02026">
        <w:rPr>
          <w:rFonts w:hint="cs"/>
          <w:b/>
          <w:bCs/>
          <w:sz w:val="26"/>
          <w:szCs w:val="26"/>
          <w:rtl/>
        </w:rPr>
        <w:t>"</w:t>
      </w:r>
      <w:r w:rsidR="00A458B7" w:rsidRPr="00A458B7">
        <w:rPr>
          <w:b/>
          <w:bCs/>
          <w:sz w:val="26"/>
          <w:szCs w:val="26"/>
          <w:rtl/>
        </w:rPr>
        <w:t xml:space="preserve"> (حزقيال 1: 22). وفي رؤيا حزقيال كانت </w:t>
      </w:r>
      <w:r w:rsidR="007A34EF">
        <w:rPr>
          <w:rFonts w:hint="cs"/>
          <w:b/>
          <w:bCs/>
          <w:sz w:val="26"/>
          <w:szCs w:val="26"/>
          <w:rtl/>
        </w:rPr>
        <w:t>ال</w:t>
      </w:r>
      <w:r w:rsidR="00A458B7" w:rsidRPr="00A458B7">
        <w:rPr>
          <w:b/>
          <w:bCs/>
          <w:sz w:val="26"/>
          <w:szCs w:val="26"/>
          <w:rtl/>
        </w:rPr>
        <w:t xml:space="preserve">كائنات </w:t>
      </w:r>
      <w:r w:rsidR="007A34EF">
        <w:rPr>
          <w:rFonts w:hint="cs"/>
          <w:b/>
          <w:bCs/>
          <w:sz w:val="26"/>
          <w:szCs w:val="26"/>
          <w:rtl/>
        </w:rPr>
        <w:t>ال</w:t>
      </w:r>
      <w:r w:rsidR="00A458B7" w:rsidRPr="00A458B7">
        <w:rPr>
          <w:b/>
          <w:bCs/>
          <w:sz w:val="26"/>
          <w:szCs w:val="26"/>
          <w:rtl/>
        </w:rPr>
        <w:t xml:space="preserve">حية مجرد رموز تمثل صفات الله، في حين جلس الذي </w:t>
      </w:r>
      <w:r w:rsidR="007A34EF">
        <w:rPr>
          <w:rFonts w:hint="cs"/>
          <w:b/>
          <w:bCs/>
          <w:sz w:val="26"/>
          <w:szCs w:val="26"/>
          <w:rtl/>
        </w:rPr>
        <w:t>يستحق</w:t>
      </w:r>
      <w:r w:rsidR="00A458B7" w:rsidRPr="00A458B7">
        <w:rPr>
          <w:b/>
          <w:bCs/>
          <w:sz w:val="26"/>
          <w:szCs w:val="26"/>
          <w:rtl/>
        </w:rPr>
        <w:t xml:space="preserve"> العبادة فوق </w:t>
      </w:r>
      <w:r w:rsidR="00F02026">
        <w:rPr>
          <w:rFonts w:hint="cs"/>
          <w:b/>
          <w:bCs/>
          <w:sz w:val="26"/>
          <w:szCs w:val="26"/>
          <w:rtl/>
        </w:rPr>
        <w:t>"</w:t>
      </w:r>
      <w:r w:rsidR="00F02026" w:rsidRPr="00F02026">
        <w:rPr>
          <w:b/>
          <w:bCs/>
          <w:sz w:val="26"/>
          <w:szCs w:val="26"/>
          <w:rtl/>
        </w:rPr>
        <w:t>الْمُقَبَّب</w:t>
      </w:r>
      <w:r w:rsidR="00F02026">
        <w:rPr>
          <w:rFonts w:hint="cs"/>
          <w:b/>
          <w:bCs/>
          <w:sz w:val="26"/>
          <w:szCs w:val="26"/>
          <w:rtl/>
        </w:rPr>
        <w:t>"</w:t>
      </w:r>
      <w:r w:rsidR="00A458B7" w:rsidRPr="00A458B7">
        <w:rPr>
          <w:b/>
          <w:bCs/>
          <w:sz w:val="26"/>
          <w:szCs w:val="26"/>
          <w:rtl/>
        </w:rPr>
        <w:t>. هذا هو الفرق الكبير (على الأقل فيما يتعلق بهذا الجانب من الأمر) بين عبادة الأوثان وإعلان الله.</w:t>
      </w:r>
    </w:p>
  </w:footnote>
  <w:footnote w:id="2">
    <w:p w14:paraId="72BAC696" w14:textId="2C981A23" w:rsidR="00A458B7" w:rsidRPr="00A458B7" w:rsidRDefault="00A458B7">
      <w:pPr>
        <w:pStyle w:val="FootnoteText"/>
        <w:rPr>
          <w:b/>
          <w:bCs/>
          <w:sz w:val="26"/>
          <w:szCs w:val="26"/>
          <w:lang w:bidi="ar-LB"/>
        </w:rPr>
      </w:pPr>
      <w:r w:rsidRPr="00A458B7">
        <w:rPr>
          <w:rStyle w:val="FootnoteReference"/>
          <w:b/>
          <w:bCs/>
          <w:sz w:val="26"/>
          <w:szCs w:val="26"/>
        </w:rPr>
        <w:footnoteRef/>
      </w:r>
      <w:r w:rsidRPr="00A458B7">
        <w:rPr>
          <w:b/>
          <w:bCs/>
          <w:sz w:val="26"/>
          <w:szCs w:val="26"/>
          <w:rtl/>
        </w:rPr>
        <w:t xml:space="preserve"> </w:t>
      </w:r>
      <w:r w:rsidRPr="00A458B7">
        <w:rPr>
          <w:b/>
          <w:bCs/>
          <w:sz w:val="26"/>
          <w:szCs w:val="26"/>
          <w:rtl/>
          <w:lang w:bidi="ar-LB"/>
        </w:rPr>
        <w:t>وأعني بذلك فقط: في منطقة الإمبراطورية الكلدانية. وكانت على نهر كبار الذي يوجد أكثر في شمال غرب بلاد ما بين النهرين.</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678"/>
    <w:rsid w:val="000227DF"/>
    <w:rsid w:val="000503C3"/>
    <w:rsid w:val="00051645"/>
    <w:rsid w:val="000600C1"/>
    <w:rsid w:val="00077730"/>
    <w:rsid w:val="000A60E2"/>
    <w:rsid w:val="000D41FA"/>
    <w:rsid w:val="000E54F8"/>
    <w:rsid w:val="001325BA"/>
    <w:rsid w:val="001347FD"/>
    <w:rsid w:val="001D0D9E"/>
    <w:rsid w:val="001D7A6D"/>
    <w:rsid w:val="0024773E"/>
    <w:rsid w:val="002C6D6D"/>
    <w:rsid w:val="0031713C"/>
    <w:rsid w:val="003D309F"/>
    <w:rsid w:val="00420C1D"/>
    <w:rsid w:val="00440C5F"/>
    <w:rsid w:val="004655D4"/>
    <w:rsid w:val="004E78B1"/>
    <w:rsid w:val="005373DA"/>
    <w:rsid w:val="00554B2B"/>
    <w:rsid w:val="005C7D3F"/>
    <w:rsid w:val="0065628F"/>
    <w:rsid w:val="00700D44"/>
    <w:rsid w:val="00734E75"/>
    <w:rsid w:val="00780678"/>
    <w:rsid w:val="007A34EF"/>
    <w:rsid w:val="008D1CA6"/>
    <w:rsid w:val="008E2368"/>
    <w:rsid w:val="008E4785"/>
    <w:rsid w:val="00995766"/>
    <w:rsid w:val="009D2C08"/>
    <w:rsid w:val="009E40D6"/>
    <w:rsid w:val="009F3611"/>
    <w:rsid w:val="00A458B7"/>
    <w:rsid w:val="00BA53D9"/>
    <w:rsid w:val="00BE5954"/>
    <w:rsid w:val="00C50F7B"/>
    <w:rsid w:val="00C529ED"/>
    <w:rsid w:val="00C72CA8"/>
    <w:rsid w:val="00CE67AE"/>
    <w:rsid w:val="00CF3854"/>
    <w:rsid w:val="00EA0743"/>
    <w:rsid w:val="00ED019F"/>
    <w:rsid w:val="00ED48E1"/>
    <w:rsid w:val="00F02026"/>
    <w:rsid w:val="00F07D01"/>
    <w:rsid w:val="00F33244"/>
    <w:rsid w:val="00F72C30"/>
    <w:rsid w:val="00F739E1"/>
    <w:rsid w:val="00FA53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EEC88"/>
  <w15:chartTrackingRefBased/>
  <w15:docId w15:val="{A397ACCC-2B28-4312-8263-23AA1207E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678"/>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78067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067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067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067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067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067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678"/>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78067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8067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8067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067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067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067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0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678"/>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780678"/>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780678"/>
    <w:pPr>
      <w:spacing w:before="160"/>
      <w:jc w:val="center"/>
    </w:pPr>
    <w:rPr>
      <w:i/>
      <w:iCs/>
      <w:color w:val="404040" w:themeColor="text1" w:themeTint="BF"/>
    </w:rPr>
  </w:style>
  <w:style w:type="character" w:customStyle="1" w:styleId="QuoteChar">
    <w:name w:val="Quote Char"/>
    <w:basedOn w:val="DefaultParagraphFont"/>
    <w:link w:val="Quote"/>
    <w:uiPriority w:val="29"/>
    <w:rsid w:val="00780678"/>
    <w:rPr>
      <w:i/>
      <w:iCs/>
      <w:color w:val="404040" w:themeColor="text1" w:themeTint="BF"/>
    </w:rPr>
  </w:style>
  <w:style w:type="paragraph" w:styleId="ListParagraph">
    <w:name w:val="List Paragraph"/>
    <w:basedOn w:val="Normal"/>
    <w:uiPriority w:val="34"/>
    <w:qFormat/>
    <w:rsid w:val="00780678"/>
    <w:pPr>
      <w:ind w:left="720"/>
      <w:contextualSpacing/>
    </w:pPr>
  </w:style>
  <w:style w:type="character" w:styleId="IntenseEmphasis">
    <w:name w:val="Intense Emphasis"/>
    <w:basedOn w:val="DefaultParagraphFont"/>
    <w:uiPriority w:val="21"/>
    <w:qFormat/>
    <w:rsid w:val="00780678"/>
    <w:rPr>
      <w:i/>
      <w:iCs/>
      <w:color w:val="0F4761" w:themeColor="accent1" w:themeShade="BF"/>
    </w:rPr>
  </w:style>
  <w:style w:type="paragraph" w:styleId="IntenseQuote">
    <w:name w:val="Intense Quote"/>
    <w:basedOn w:val="Normal"/>
    <w:next w:val="Normal"/>
    <w:link w:val="IntenseQuoteChar"/>
    <w:uiPriority w:val="30"/>
    <w:qFormat/>
    <w:rsid w:val="00780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678"/>
    <w:rPr>
      <w:i/>
      <w:iCs/>
      <w:color w:val="0F4761" w:themeColor="accent1" w:themeShade="BF"/>
    </w:rPr>
  </w:style>
  <w:style w:type="character" w:styleId="IntenseReference">
    <w:name w:val="Intense Reference"/>
    <w:basedOn w:val="DefaultParagraphFont"/>
    <w:uiPriority w:val="32"/>
    <w:qFormat/>
    <w:rsid w:val="00780678"/>
    <w:rPr>
      <w:b/>
      <w:bCs/>
      <w:smallCaps/>
      <w:color w:val="0F4761" w:themeColor="accent1" w:themeShade="BF"/>
      <w:spacing w:val="5"/>
    </w:rPr>
  </w:style>
  <w:style w:type="character" w:styleId="Hyperlink">
    <w:name w:val="Hyperlink"/>
    <w:basedOn w:val="DefaultParagraphFont"/>
    <w:uiPriority w:val="99"/>
    <w:unhideWhenUsed/>
    <w:rsid w:val="00C529ED"/>
    <w:rPr>
      <w:color w:val="467886" w:themeColor="hyperlink"/>
      <w:u w:val="single"/>
    </w:rPr>
  </w:style>
  <w:style w:type="character" w:styleId="UnresolvedMention">
    <w:name w:val="Unresolved Mention"/>
    <w:basedOn w:val="DefaultParagraphFont"/>
    <w:uiPriority w:val="99"/>
    <w:semiHidden/>
    <w:unhideWhenUsed/>
    <w:rsid w:val="00C529ED"/>
    <w:rPr>
      <w:color w:val="605E5C"/>
      <w:shd w:val="clear" w:color="auto" w:fill="E1DFDD"/>
    </w:rPr>
  </w:style>
  <w:style w:type="character" w:styleId="FollowedHyperlink">
    <w:name w:val="FollowedHyperlink"/>
    <w:basedOn w:val="DefaultParagraphFont"/>
    <w:uiPriority w:val="99"/>
    <w:semiHidden/>
    <w:unhideWhenUsed/>
    <w:rsid w:val="001347FD"/>
    <w:rPr>
      <w:color w:val="96607D" w:themeColor="followedHyperlink"/>
      <w:u w:val="single"/>
    </w:rPr>
  </w:style>
  <w:style w:type="paragraph" w:styleId="FootnoteText">
    <w:name w:val="footnote text"/>
    <w:basedOn w:val="Normal"/>
    <w:link w:val="FootnoteTextChar"/>
    <w:uiPriority w:val="99"/>
    <w:semiHidden/>
    <w:unhideWhenUsed/>
    <w:rsid w:val="000D41F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D41FA"/>
    <w:rPr>
      <w:sz w:val="20"/>
      <w:szCs w:val="20"/>
    </w:rPr>
  </w:style>
  <w:style w:type="character" w:styleId="FootnoteReference">
    <w:name w:val="footnote reference"/>
    <w:basedOn w:val="DefaultParagraphFont"/>
    <w:uiPriority w:val="99"/>
    <w:semiHidden/>
    <w:unhideWhenUsed/>
    <w:rsid w:val="000D41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128/betrachtung-ueber-den-propheten-hesekiel-synopsis/kapitel-4-7" TargetMode="External"/><Relationship Id="rId3" Type="http://schemas.openxmlformats.org/officeDocument/2006/relationships/settings" Target="settings.xml"/><Relationship Id="rId7" Type="http://schemas.openxmlformats.org/officeDocument/2006/relationships/hyperlink" Target="https://www.bibelkommentare.de/kommentare/k-1127/betrachtung-ueber-den-propheten-hesekiel-synopsis/kapitel-1-3"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1128/betrachtung-ueber-den-propheten-hesekiel-synopsis/kapitel-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222BD-0D5D-4195-963A-AC974199C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1</Pages>
  <Words>1253</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21</cp:revision>
  <dcterms:created xsi:type="dcterms:W3CDTF">2024-08-05T21:49:00Z</dcterms:created>
  <dcterms:modified xsi:type="dcterms:W3CDTF">2024-08-16T18:15:00Z</dcterms:modified>
</cp:coreProperties>
</file>