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BE011D" w:rsidRDefault="00ED6E54">
      <w:pPr>
        <w:rPr>
          <w:rtl/>
        </w:rPr>
      </w:pPr>
      <w:hyperlink r:id="rId5" w:anchor="search-hit-0" w:history="1">
        <w:r w:rsidRPr="00ED6E54">
          <w:rPr>
            <w:rStyle w:val="Hyperlink"/>
            <w:rFonts w:hint="cs"/>
            <w:rtl/>
          </w:rPr>
          <w:t>من الخروج من مصر إلى وصول كنعان – لغة العهد القديم المصورة</w:t>
        </w:r>
      </w:hyperlink>
    </w:p>
    <w:p w:rsidR="00ED6E54" w:rsidRDefault="00ED6E54" w:rsidP="00ED6E54">
      <w:pPr>
        <w:rPr>
          <w:rtl/>
        </w:rPr>
      </w:pPr>
      <w:r>
        <w:rPr>
          <w:rFonts w:hint="cs"/>
          <w:rtl/>
        </w:rPr>
        <w:t>1. كورنثوس 10: 6، 11؛ رومية 15: 4</w:t>
      </w:r>
    </w:p>
    <w:p w:rsidR="00ED6E54" w:rsidRDefault="00ED6E54" w:rsidP="00ED6E54">
      <w:pPr>
        <w:bidi w:val="0"/>
      </w:pPr>
      <w:r w:rsidRPr="00ED6E54">
        <w:t>Manuel Seibel</w:t>
      </w:r>
    </w:p>
    <w:p w:rsidR="00ED6E54" w:rsidRDefault="00FC4939" w:rsidP="00ED6E54">
      <w:pPr>
        <w:rPr>
          <w:rtl/>
        </w:rPr>
      </w:pPr>
      <w:r>
        <w:rPr>
          <w:rFonts w:hint="cs"/>
          <w:rtl/>
        </w:rPr>
        <w:t>1. كورنثوس 10: 6، 11: "</w:t>
      </w:r>
      <w:r w:rsidRPr="00FC4939">
        <w:rPr>
          <w:rFonts w:ascii="Times New Roman" w:hAnsi="Times New Roman" w:cs="Times New Roman" w:hint="cs"/>
          <w:rtl/>
        </w:rPr>
        <w:t>​</w:t>
      </w:r>
      <w:r w:rsidRPr="00FC4939">
        <w:rPr>
          <w:rFonts w:hint="cs"/>
          <w:rtl/>
        </w:rPr>
        <w:t>وَهذِهِ</w:t>
      </w:r>
      <w:r w:rsidRPr="00FC4939">
        <w:rPr>
          <w:rtl/>
        </w:rPr>
        <w:t xml:space="preserve"> </w:t>
      </w:r>
      <w:r w:rsidRPr="00FC4939">
        <w:rPr>
          <w:rFonts w:hint="cs"/>
          <w:rtl/>
        </w:rPr>
        <w:t>الأُمُورُ</w:t>
      </w:r>
      <w:r w:rsidRPr="00FC4939">
        <w:rPr>
          <w:rtl/>
        </w:rPr>
        <w:t xml:space="preserve"> </w:t>
      </w:r>
      <w:r w:rsidRPr="00FC4939">
        <w:rPr>
          <w:rFonts w:hint="cs"/>
          <w:rtl/>
        </w:rPr>
        <w:t>حَدَثَتْ</w:t>
      </w:r>
      <w:r w:rsidRPr="00FC4939">
        <w:rPr>
          <w:rtl/>
        </w:rPr>
        <w:t xml:space="preserve"> </w:t>
      </w:r>
      <w:r w:rsidRPr="00FC4939">
        <w:rPr>
          <w:rFonts w:hint="cs"/>
          <w:rtl/>
        </w:rPr>
        <w:t>مِثَالاً</w:t>
      </w:r>
      <w:r w:rsidRPr="00FC4939">
        <w:rPr>
          <w:rtl/>
        </w:rPr>
        <w:t xml:space="preserve"> </w:t>
      </w:r>
      <w:r w:rsidRPr="00FC4939">
        <w:rPr>
          <w:rFonts w:hint="cs"/>
          <w:rtl/>
        </w:rPr>
        <w:t>لَنَا،</w:t>
      </w:r>
      <w:r w:rsidRPr="00FC4939">
        <w:rPr>
          <w:rtl/>
        </w:rPr>
        <w:t xml:space="preserve"> </w:t>
      </w:r>
      <w:r w:rsidRPr="00FC4939">
        <w:rPr>
          <w:rFonts w:hint="cs"/>
          <w:rtl/>
        </w:rPr>
        <w:t>حَتَّى</w:t>
      </w:r>
      <w:r w:rsidRPr="00FC4939">
        <w:rPr>
          <w:rtl/>
        </w:rPr>
        <w:t xml:space="preserve"> </w:t>
      </w:r>
      <w:r w:rsidRPr="00FC4939">
        <w:rPr>
          <w:rFonts w:hint="cs"/>
          <w:rtl/>
        </w:rPr>
        <w:t>لاَ</w:t>
      </w:r>
      <w:r w:rsidRPr="00FC4939">
        <w:rPr>
          <w:rtl/>
        </w:rPr>
        <w:t xml:space="preserve"> </w:t>
      </w:r>
      <w:r w:rsidRPr="00FC4939">
        <w:rPr>
          <w:rFonts w:hint="cs"/>
          <w:rtl/>
        </w:rPr>
        <w:t>نَكُونَ</w:t>
      </w:r>
      <w:r w:rsidRPr="00FC4939">
        <w:rPr>
          <w:rtl/>
        </w:rPr>
        <w:t xml:space="preserve"> </w:t>
      </w:r>
      <w:r w:rsidRPr="00FC4939">
        <w:rPr>
          <w:rFonts w:hint="cs"/>
          <w:rtl/>
        </w:rPr>
        <w:t>نَحْنُ</w:t>
      </w:r>
      <w:r w:rsidRPr="00FC4939">
        <w:rPr>
          <w:rtl/>
        </w:rPr>
        <w:t xml:space="preserve"> </w:t>
      </w:r>
      <w:r w:rsidRPr="00FC4939">
        <w:rPr>
          <w:rFonts w:hint="cs"/>
          <w:rtl/>
        </w:rPr>
        <w:t>مُشْتَهِينَ</w:t>
      </w:r>
      <w:r w:rsidRPr="00FC4939">
        <w:rPr>
          <w:rtl/>
        </w:rPr>
        <w:t xml:space="preserve"> </w:t>
      </w:r>
      <w:r w:rsidRPr="00FC4939">
        <w:rPr>
          <w:rFonts w:hint="cs"/>
          <w:rtl/>
        </w:rPr>
        <w:t>شُرُورًا</w:t>
      </w:r>
      <w:r w:rsidRPr="00FC4939">
        <w:rPr>
          <w:rtl/>
        </w:rPr>
        <w:t xml:space="preserve"> </w:t>
      </w:r>
      <w:r w:rsidRPr="00FC4939">
        <w:rPr>
          <w:rFonts w:hint="cs"/>
          <w:rtl/>
        </w:rPr>
        <w:t>كَمَا</w:t>
      </w:r>
      <w:r w:rsidRPr="00FC4939">
        <w:rPr>
          <w:rtl/>
        </w:rPr>
        <w:t xml:space="preserve"> </w:t>
      </w:r>
      <w:r w:rsidRPr="00FC4939">
        <w:rPr>
          <w:rFonts w:hint="cs"/>
          <w:rtl/>
        </w:rPr>
        <w:t>اشْتَهَى</w:t>
      </w:r>
      <w:r w:rsidRPr="00FC4939">
        <w:rPr>
          <w:rtl/>
        </w:rPr>
        <w:t xml:space="preserve"> </w:t>
      </w:r>
      <w:r w:rsidRPr="00FC4939">
        <w:rPr>
          <w:rFonts w:hint="cs"/>
          <w:rtl/>
        </w:rPr>
        <w:t>أُولئِكَ</w:t>
      </w:r>
      <w:r w:rsidRPr="00FC4939">
        <w:rPr>
          <w:rtl/>
        </w:rPr>
        <w:t xml:space="preserve">.  </w:t>
      </w:r>
      <w:r>
        <w:rPr>
          <w:rFonts w:hint="cs"/>
          <w:rtl/>
        </w:rPr>
        <w:t>...</w:t>
      </w:r>
      <w:r w:rsidRPr="00FC4939">
        <w:rPr>
          <w:rtl/>
        </w:rPr>
        <w:t xml:space="preserve"> </w:t>
      </w:r>
      <w:r w:rsidRPr="00FC4939">
        <w:rPr>
          <w:rFonts w:ascii="Times New Roman" w:hAnsi="Times New Roman" w:cs="Times New Roman" w:hint="cs"/>
          <w:rtl/>
        </w:rPr>
        <w:t>​</w:t>
      </w:r>
      <w:r w:rsidRPr="00FC4939">
        <w:rPr>
          <w:rtl/>
        </w:rPr>
        <w:t>11</w:t>
      </w:r>
      <w:r w:rsidRPr="00FC4939">
        <w:rPr>
          <w:rFonts w:ascii="Times New Roman" w:hAnsi="Times New Roman" w:cs="Times New Roman" w:hint="cs"/>
          <w:rtl/>
        </w:rPr>
        <w:t>​</w:t>
      </w:r>
      <w:r w:rsidRPr="00FC4939">
        <w:rPr>
          <w:rtl/>
        </w:rPr>
        <w:t xml:space="preserve"> </w:t>
      </w:r>
      <w:r w:rsidRPr="00FC4939">
        <w:rPr>
          <w:rFonts w:ascii="Times New Roman" w:hAnsi="Times New Roman" w:cs="Times New Roman" w:hint="cs"/>
          <w:rtl/>
        </w:rPr>
        <w:t>​</w:t>
      </w:r>
      <w:r w:rsidRPr="00FC4939">
        <w:rPr>
          <w:rFonts w:hint="cs"/>
          <w:rtl/>
        </w:rPr>
        <w:t>فَهذِهِ</w:t>
      </w:r>
      <w:r w:rsidRPr="00FC4939">
        <w:rPr>
          <w:rtl/>
        </w:rPr>
        <w:t xml:space="preserve"> </w:t>
      </w:r>
      <w:r w:rsidRPr="00FC4939">
        <w:rPr>
          <w:rFonts w:hint="cs"/>
          <w:rtl/>
        </w:rPr>
        <w:t>الأُمُورُ</w:t>
      </w:r>
      <w:r w:rsidRPr="00FC4939">
        <w:rPr>
          <w:rtl/>
        </w:rPr>
        <w:t xml:space="preserve"> </w:t>
      </w:r>
      <w:r w:rsidRPr="00FC4939">
        <w:rPr>
          <w:rFonts w:hint="cs"/>
          <w:rtl/>
        </w:rPr>
        <w:t>جَمِيعُهَا</w:t>
      </w:r>
      <w:r w:rsidRPr="00FC4939">
        <w:rPr>
          <w:rtl/>
        </w:rPr>
        <w:t xml:space="preserve"> </w:t>
      </w:r>
      <w:r w:rsidRPr="00FC4939">
        <w:rPr>
          <w:rFonts w:hint="cs"/>
          <w:rtl/>
        </w:rPr>
        <w:t>أَصَابَت</w:t>
      </w:r>
      <w:r w:rsidRPr="00FC4939">
        <w:rPr>
          <w:rtl/>
        </w:rPr>
        <w:t>ْهُمْ مِثَالاً، وَكُتِبَتْ لإِنْذَارِنَا نَحْنُ الَّذِينَ انْتَهَتْ إِلَيْنَا أَوَاخِرُ الدُّهُورِ.</w:t>
      </w:r>
      <w:r>
        <w:rPr>
          <w:rFonts w:hint="cs"/>
          <w:rtl/>
        </w:rPr>
        <w:t>""</w:t>
      </w:r>
    </w:p>
    <w:p w:rsidR="00FC4939" w:rsidRDefault="00FC4939" w:rsidP="00ED6E54">
      <w:pPr>
        <w:rPr>
          <w:rtl/>
        </w:rPr>
      </w:pPr>
      <w:r>
        <w:rPr>
          <w:rFonts w:hint="cs"/>
          <w:rtl/>
        </w:rPr>
        <w:t>رومية 15: 4: "</w:t>
      </w:r>
      <w:r w:rsidRPr="00FC4939">
        <w:rPr>
          <w:rtl/>
        </w:rPr>
        <w:t xml:space="preserve"> لأَنَّ كُلَّ مَا سَبَقَ فَكُتِبَ كُتِبَ لأَجْلِ تَعْلِيمِنَا، حَتَّى بِالصَّبْرِ وَالتَّعْزِيَةِ بِمَا فِي الْكُتُبِ يَكُونُ لَنَا رَجَاءٌ.</w:t>
      </w:r>
      <w:r>
        <w:rPr>
          <w:rFonts w:hint="cs"/>
          <w:rtl/>
        </w:rPr>
        <w:t>"</w:t>
      </w:r>
    </w:p>
    <w:p w:rsidR="00FC4939" w:rsidRDefault="00FC4939" w:rsidP="00ED6E54">
      <w:pPr>
        <w:rPr>
          <w:rtl/>
        </w:rPr>
      </w:pPr>
      <w:r>
        <w:rPr>
          <w:rFonts w:hint="cs"/>
          <w:rtl/>
        </w:rPr>
        <w:t>تمهيد</w:t>
      </w:r>
    </w:p>
    <w:p w:rsidR="00FC4939" w:rsidRDefault="00FC4939" w:rsidP="00ED6E54">
      <w:pPr>
        <w:rPr>
          <w:rtl/>
        </w:rPr>
      </w:pPr>
      <w:r>
        <w:rPr>
          <w:rFonts w:hint="cs"/>
          <w:rtl/>
        </w:rPr>
        <w:t>لقد لوحظ كثيرًا أننا في العهد الجديد فيما بعد الأناجيل وأعمال الرسل نجد التعليم المسيحي في المقام الأول. أما العهد القدم فيرينا بالمقابل في الدرجة الأولى تاريخ الإنسان وشعب إسرائيل. لكن هل هذا هو المفهوم الجوهري في العهد القديم؟ بالطبع لا. الله لا يريد أن يرينا فقط كيف جرى التاريخ بالفعل (الخليقة، قيام إسرائيل، تطوّر المملكة إلخ). إنه بالحري يرينا ما هو أكثر من ذلك بكثير. وليس صدفة قال أحدهم بان العهد القديم هو الكتاب المصوّر لتعليم العهد الجديد.</w:t>
      </w:r>
    </w:p>
    <w:p w:rsidR="00FC4939" w:rsidRDefault="00FC4939" w:rsidP="00ED6E54">
      <w:pPr>
        <w:rPr>
          <w:rtl/>
        </w:rPr>
      </w:pPr>
      <w:r>
        <w:rPr>
          <w:rFonts w:hint="cs"/>
          <w:rtl/>
        </w:rPr>
        <w:t>غير أن العهد القديم عادة لا يرينا صورة لمركز المسيحي في العهد الجديد. هو يُظهر لنا كيف نحقق هذا المركز عمليًا. والحق في تفسير</w:t>
      </w:r>
      <w:r w:rsidR="00D30FEA">
        <w:rPr>
          <w:rFonts w:hint="cs"/>
          <w:rtl/>
        </w:rPr>
        <w:t xml:space="preserve"> هذا الجزء من الكتاب بهذا الشكل نجده في عدة صور في العهد الجديد. في رومية 15: 4 نحن نتعلم بأن صبر وانتظار مؤمني العهد القديم تشجعهم بان يتمثلوا بهم.</w:t>
      </w:r>
    </w:p>
    <w:p w:rsidR="00D30FEA" w:rsidRDefault="00D30FEA" w:rsidP="00ED6E54">
      <w:pPr>
        <w:rPr>
          <w:rtl/>
        </w:rPr>
      </w:pPr>
      <w:r>
        <w:rPr>
          <w:rFonts w:hint="cs"/>
          <w:rtl/>
        </w:rPr>
        <w:t>في 1. كورنثوس 10: 6، 11 يقول لنا بأن الأحداث في العهد القديم لها معنى في العهد الجديد. فالأمر مرتبط بصور عن حق العهد الجديد. هذا ما نريد أن نفهمه بشكل أفضل بالنظر إلى محطات جوهرية من رحلة إسرائيل من خروجهم من مصر حتى وصولهم كنعان التي تسلمنا إشارات رمزية لتحرير المسيحي.</w:t>
      </w:r>
    </w:p>
    <w:p w:rsidR="00D30FEA" w:rsidRDefault="00D30FEA" w:rsidP="00ED6E54">
      <w:pPr>
        <w:rPr>
          <w:rtl/>
        </w:rPr>
      </w:pPr>
      <w:r>
        <w:rPr>
          <w:rFonts w:hint="cs"/>
          <w:rtl/>
        </w:rPr>
        <w:t xml:space="preserve">مصر </w:t>
      </w:r>
      <w:r>
        <w:rPr>
          <w:rtl/>
        </w:rPr>
        <w:t>–</w:t>
      </w:r>
      <w:r>
        <w:rPr>
          <w:rFonts w:hint="cs"/>
          <w:rtl/>
        </w:rPr>
        <w:t xml:space="preserve"> صورة عن العالم كنظام إبليس</w:t>
      </w:r>
    </w:p>
    <w:p w:rsidR="00D30FEA" w:rsidRDefault="00D30FEA" w:rsidP="00ED6E54">
      <w:pPr>
        <w:rPr>
          <w:rtl/>
        </w:rPr>
      </w:pPr>
      <w:r>
        <w:rPr>
          <w:rFonts w:hint="cs"/>
          <w:rtl/>
        </w:rPr>
        <w:t>في مصر كان شعب إسرائيل في عبودية كما يمكن للمرء ان يقرأه من بداية سفر الخروج. هذا الحكم قام به حاكم من مصر: فرعون. ومن هذه العبودية لم يكن باستطاعة الشعب أن يحرر نفسه.</w:t>
      </w:r>
    </w:p>
    <w:p w:rsidR="00D30FEA" w:rsidRDefault="00D30FEA" w:rsidP="00ED6E54">
      <w:pPr>
        <w:rPr>
          <w:rtl/>
        </w:rPr>
      </w:pPr>
      <w:r>
        <w:rPr>
          <w:rFonts w:hint="cs"/>
          <w:rtl/>
        </w:rPr>
        <w:t xml:space="preserve">فكما أن الشعب آنذاك كان تحت عبودية تلك البلاد وفرعون، هكذا كل إنسان واقع تحت حكم العالم وإبليس. إبليس </w:t>
      </w:r>
      <w:r w:rsidR="00CB5566">
        <w:rPr>
          <w:rFonts w:hint="cs"/>
          <w:rtl/>
        </w:rPr>
        <w:t>أقام هنا نظامًا فيه هو سيد، رئيس وإله (قارن يوحنا 16: 11؛ 2. كورنثوس 4: 4). هذا النظام يستأسر الإنسان ويقوده إلى الموت الأبدي إن لم يتحرر منه قبل ذلك (غلاطية 1: 4).</w:t>
      </w:r>
    </w:p>
    <w:p w:rsidR="00CB5566" w:rsidRDefault="00CB5566" w:rsidP="00ED6E54">
      <w:pPr>
        <w:rPr>
          <w:rtl/>
        </w:rPr>
      </w:pPr>
      <w:r>
        <w:rPr>
          <w:rFonts w:hint="cs"/>
          <w:rtl/>
        </w:rPr>
        <w:t>التحرر من مصر من خلال الفصح والبحر الأحمر</w:t>
      </w:r>
    </w:p>
    <w:p w:rsidR="00CB5566" w:rsidRDefault="00CB5566" w:rsidP="00ED6E54">
      <w:pPr>
        <w:rPr>
          <w:rtl/>
        </w:rPr>
      </w:pPr>
      <w:r>
        <w:rPr>
          <w:rFonts w:hint="cs"/>
          <w:rtl/>
        </w:rPr>
        <w:t>الله خلّص شعب إسرائيل من مصر بوسيلتين: أولاً ماتت شاة عن كل بيت في إسرائيل، بحيث أن كل أبكار الشعب أُنقذت من قضاء الله. ولكن لم يكن بنو إسرائيل قد حصلوا على حريتهم من خلال هذا. فلقد كان عليهم أيضًا أن يعبروا عبر البحر الأحمر لكي يتركوا هذه البلاد ونطاق حكمها.</w:t>
      </w:r>
    </w:p>
    <w:p w:rsidR="00CB5566" w:rsidRDefault="00CB5566" w:rsidP="00ED6E54">
      <w:pPr>
        <w:rPr>
          <w:rtl/>
        </w:rPr>
      </w:pPr>
      <w:r>
        <w:rPr>
          <w:rFonts w:hint="cs"/>
          <w:rtl/>
        </w:rPr>
        <w:t>هذان الحدثان لهما معنى روحي: فكما أنه كان يجب ذبح شاة بدلاً عن كل بكر في إسرائيل، هكذا مات الرب يسوع نيابة عن كل إنسان رجع إليه تائبًا (قارن 1. كورنثوس 5: 7). فلقد وقعت عليه دينونة خطايانا. ومن خلال أنه تكبّد هذه الدينونة في نفسه هكذا ينال جميع الذين قبلوا في نفوسهم موت المسيح عنهم الخلاص من عقاب الله الأبدي</w:t>
      </w:r>
      <w:r w:rsidR="00DD1E65">
        <w:rPr>
          <w:rFonts w:hint="cs"/>
          <w:rtl/>
        </w:rPr>
        <w:t xml:space="preserve"> (قارن ملاخي 10: 45؛ 2. كورنثوس 5: 21).</w:t>
      </w:r>
    </w:p>
    <w:p w:rsidR="00DD1E65" w:rsidRDefault="00DD1E65" w:rsidP="00DD1E65">
      <w:pPr>
        <w:rPr>
          <w:rtl/>
        </w:rPr>
      </w:pPr>
      <w:r>
        <w:rPr>
          <w:rFonts w:hint="cs"/>
          <w:rtl/>
        </w:rPr>
        <w:t>غير أن الله أيضًا أخرجنا من هذا العالم (قارن غلاطية 1: 4). يقول بولس: "</w:t>
      </w:r>
      <w:r w:rsidRPr="00DD1E65">
        <w:rPr>
          <w:rtl/>
        </w:rPr>
        <w:t xml:space="preserve"> رَبِّنَا يَسُوعَ الْمَسِيحِ، الَّذِي بِهِ قَدْ صُلِبَ الْعَالَمُ لِي وَأَنَا لِلْعَالَمِ.</w:t>
      </w:r>
      <w:r>
        <w:rPr>
          <w:rFonts w:hint="cs"/>
          <w:rtl/>
        </w:rPr>
        <w:t>" (غلاطية 6: 14). كيف من الممكن أن يكون هذا؟ "</w:t>
      </w:r>
      <w:r>
        <w:rPr>
          <w:rtl/>
        </w:rPr>
        <w:t xml:space="preserve">  3أَمْ تَجْهَلُونَ أَنَّنَا كُلَّ مَنِ اعْتَمَدَ لِيَسُوعَ الْمَسِيحِ اعْتَمَدْنَا لِمَوْتِهِ،  4فَدُفِنَّا مَعَهُ بِالْمَعْمُودِيَّةِ لِلْمَوْتِ، حَتَّى كَمَا أُقِيمَ الْمَسِيحُ مِنَ الأَمْوَاتِ، بِمَجْدِ الآبِ، هكَذَا نَسْلُكُ نَحْنُ أَيْضًا فِي جِدَّةِ الْحَيَاةِ؟  5لأَنَّهُ إِنْ كُنَّا قَدْ صِرْنَا مُتَّحِدِينَ مَعَهُ بِشِبْهِ مَوْتِهِ، نَصِيرُ أَيْضًا بِقِيَامَتِه</w:t>
      </w:r>
      <w:r>
        <w:rPr>
          <w:rFonts w:hint="cs"/>
          <w:rtl/>
        </w:rPr>
        <w:t xml:space="preserve"> </w:t>
      </w:r>
      <w:r>
        <w:rPr>
          <w:rtl/>
        </w:rPr>
        <w:t>ِ.</w:t>
      </w:r>
      <w:r>
        <w:rPr>
          <w:rFonts w:hint="cs"/>
          <w:rtl/>
        </w:rPr>
        <w:t>..</w:t>
      </w:r>
      <w:r>
        <w:rPr>
          <w:rtl/>
        </w:rPr>
        <w:t xml:space="preserve"> كَذلِكَ أَنْتُمْ أَيْضًا احْسِبُوا أَنْفُسَكُمْ أَمْوَاتًا عَنِ الْخَطِيَّةِ، وَلكِنْ أَحْيَاءً ِللهِ بِالْمَسِيحِ يَسُوعَ رَبِّنَا.</w:t>
      </w:r>
      <w:r>
        <w:rPr>
          <w:rFonts w:hint="cs"/>
          <w:rtl/>
        </w:rPr>
        <w:t xml:space="preserve">" (رومية 6: 3 </w:t>
      </w:r>
      <w:r>
        <w:rPr>
          <w:rtl/>
        </w:rPr>
        <w:t>–</w:t>
      </w:r>
      <w:r>
        <w:rPr>
          <w:rFonts w:hint="cs"/>
          <w:rtl/>
        </w:rPr>
        <w:t xml:space="preserve"> 5، 11). حينما عبر شعب إسرائيل البحر الأحمر اختفى نوعًا ما تحت سطح الماء، كما هو الأمر مع المتعمّد والذي يُدفَن: فلم يعُد المرء يراهم. هكذا يتكلم عبور البحر الأحمر رمزيًا عن موتنا مع المسيح.</w:t>
      </w:r>
    </w:p>
    <w:p w:rsidR="00DD1E65" w:rsidRDefault="00DD1E65" w:rsidP="00DD1E65">
      <w:pPr>
        <w:rPr>
          <w:rtl/>
        </w:rPr>
      </w:pPr>
      <w:r>
        <w:rPr>
          <w:rFonts w:hint="cs"/>
          <w:rtl/>
        </w:rPr>
        <w:t>المسيح مات. لكنه لم يمت فقط نيابة عنا. فموته كان في ذات الوقت موتنا (رومية 6: 5). نحن متنا معه حينما كان قد تعلّق على الصليب: هكذا يرى الله الأمر وهكذا اعترفنا به من خلال معموديتنا. والآن أصبح الأمر متعلق بنا بان نحقق هذا الحق أيضًا ونعيشه. هذا ما يريه عبور البحر الأحمر.</w:t>
      </w:r>
    </w:p>
    <w:p w:rsidR="001171F3" w:rsidRDefault="001171F3" w:rsidP="00DD1E65">
      <w:pPr>
        <w:rPr>
          <w:rtl/>
        </w:rPr>
      </w:pPr>
      <w:r>
        <w:rPr>
          <w:rFonts w:hint="cs"/>
          <w:rtl/>
        </w:rPr>
        <w:t>إنه لا هذا العالم الخاضع لسلطة إبليس، ولا إبليس ولا الخطية لهم اية إمكانية بالتأثير على "ميّت". فإنهم ليس لهم أية سلطة عليه. وإذ أننا أموات بحُكم مركزنا فذات الأمر ينطبق علينا نحن الذين نؤمن بالرب يسوع. لكننا فعلاً لا زلنا نحمل فينا الجيد، الطبيعة العتيقة. لهذا نُطالب في رومية 6: 11 بأن نحسب أنفسنا أموات عن الخطية.</w:t>
      </w:r>
    </w:p>
    <w:p w:rsidR="001171F3" w:rsidRDefault="001171F3" w:rsidP="001171F3">
      <w:pPr>
        <w:rPr>
          <w:rtl/>
        </w:rPr>
      </w:pPr>
      <w:r>
        <w:rPr>
          <w:rFonts w:hint="cs"/>
          <w:rtl/>
        </w:rPr>
        <w:t>فالذي نراه إذًا بأنه كان هنالك أمران ضروريان للتحرر من سلطة إبليس والعالم وعبوديتهما:</w:t>
      </w:r>
    </w:p>
    <w:p w:rsidR="001171F3" w:rsidRDefault="001171F3" w:rsidP="001171F3">
      <w:pPr>
        <w:rPr>
          <w:rtl/>
        </w:rPr>
      </w:pPr>
      <w:r>
        <w:rPr>
          <w:rFonts w:hint="cs"/>
          <w:rtl/>
        </w:rPr>
        <w:t>1. موت المسيح بالنيابة عنا.</w:t>
      </w:r>
    </w:p>
    <w:p w:rsidR="001171F3" w:rsidRDefault="001171F3" w:rsidP="001171F3">
      <w:pPr>
        <w:rPr>
          <w:rtl/>
        </w:rPr>
      </w:pPr>
      <w:r>
        <w:rPr>
          <w:rFonts w:hint="cs"/>
          <w:rtl/>
        </w:rPr>
        <w:t>2. موت المسيح، الذي كان موتنا: نحن متنا معه.</w:t>
      </w:r>
    </w:p>
    <w:p w:rsidR="001171F3" w:rsidRDefault="001171F3" w:rsidP="001171F3">
      <w:pPr>
        <w:rPr>
          <w:rtl/>
        </w:rPr>
      </w:pPr>
      <w:r>
        <w:rPr>
          <w:rFonts w:hint="cs"/>
          <w:rtl/>
        </w:rPr>
        <w:t>قبل أن يتمكن الإنسان من أن يتحرر من سلطة إبليس لا بد أولاً من حلّ مسألة الخطية بينه والله (الفصح). فالتحرر الحقيقي هو إذًا اتحاده بموت المسيح (عبور البحر الأحمر). فالمسيحي يعرف عمليًا تحرره من الخطية والعالم عند استيعابه هاتين النقطتين في حياته.</w:t>
      </w:r>
    </w:p>
    <w:p w:rsidR="00490E51" w:rsidRDefault="00640476" w:rsidP="00490E51">
      <w:pPr>
        <w:rPr>
          <w:rFonts w:hint="cs"/>
        </w:rPr>
      </w:pPr>
      <w:r>
        <w:rPr>
          <w:rFonts w:hint="cs"/>
          <w:rtl/>
        </w:rPr>
        <w:t xml:space="preserve">البرية (الظروف على الأرض) </w:t>
      </w:r>
      <w:r>
        <w:rPr>
          <w:rtl/>
        </w:rPr>
        <w:t>–</w:t>
      </w:r>
      <w:r>
        <w:rPr>
          <w:rFonts w:hint="cs"/>
          <w:rtl/>
        </w:rPr>
        <w:t xml:space="preserve"> الأردن (موت وقيامة) </w:t>
      </w:r>
      <w:r>
        <w:rPr>
          <w:rtl/>
        </w:rPr>
        <w:t>–</w:t>
      </w:r>
      <w:r>
        <w:rPr>
          <w:rFonts w:hint="cs"/>
          <w:rtl/>
        </w:rPr>
        <w:t xml:space="preserve"> كنعان (</w:t>
      </w:r>
      <w:hyperlink r:id="rId6" w:anchor="search-hit-0:~:text=Nach%20dem%20Durchzug%20durch" w:history="1">
        <w:r w:rsidRPr="0075674D">
          <w:rPr>
            <w:rStyle w:val="Hyperlink"/>
            <w:rFonts w:hint="cs"/>
            <w:rtl/>
          </w:rPr>
          <w:t>السماء</w:t>
        </w:r>
      </w:hyperlink>
      <w:r>
        <w:rPr>
          <w:rFonts w:hint="cs"/>
          <w:rtl/>
        </w:rPr>
        <w:t>)</w:t>
      </w:r>
    </w:p>
    <w:sectPr w:rsidR="00490E51" w:rsidSect="00E03FA1">
      <w:pgSz w:w="11906" w:h="16838"/>
      <w:pgMar w:top="1440" w:right="1440" w:bottom="1440" w:left="144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A1A0FF6"/>
    <w:multiLevelType w:val="hybridMultilevel"/>
    <w:tmpl w:val="45EAA6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899575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4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6E54"/>
    <w:rsid w:val="001171F3"/>
    <w:rsid w:val="00490E51"/>
    <w:rsid w:val="00640476"/>
    <w:rsid w:val="0075674D"/>
    <w:rsid w:val="00BE011D"/>
    <w:rsid w:val="00CB5566"/>
    <w:rsid w:val="00D30FEA"/>
    <w:rsid w:val="00DD1E65"/>
    <w:rsid w:val="00E03FA1"/>
    <w:rsid w:val="00ED6E54"/>
    <w:rsid w:val="00FC4939"/>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9280C"/>
  <w15:chartTrackingRefBased/>
  <w15:docId w15:val="{BAC48BD8-E155-460B-B9C0-D38C23811E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sz w:val="28"/>
        <w:szCs w:val="28"/>
        <w:lang w:val="en-US" w:eastAsia="en-US" w:bidi="he-I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D6E54"/>
    <w:pPr>
      <w:ind w:left="720"/>
      <w:contextualSpacing/>
    </w:pPr>
  </w:style>
  <w:style w:type="character" w:styleId="Hyperlink">
    <w:name w:val="Hyperlink"/>
    <w:basedOn w:val="DefaultParagraphFont"/>
    <w:uiPriority w:val="99"/>
    <w:unhideWhenUsed/>
    <w:rsid w:val="00ED6E54"/>
    <w:rPr>
      <w:color w:val="0563C1" w:themeColor="hyperlink"/>
      <w:u w:val="single"/>
    </w:rPr>
  </w:style>
  <w:style w:type="character" w:styleId="UnresolvedMention">
    <w:name w:val="Unresolved Mention"/>
    <w:basedOn w:val="DefaultParagraphFont"/>
    <w:uiPriority w:val="99"/>
    <w:semiHidden/>
    <w:unhideWhenUsed/>
    <w:rsid w:val="00ED6E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660311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soundwords.de/" TargetMode="External"/><Relationship Id="rId5" Type="http://schemas.openxmlformats.org/officeDocument/2006/relationships/hyperlink" Target="https://www.soundwords.de/"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1</Pages>
  <Words>802</Words>
  <Characters>4014</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איבט סלייח</dc:creator>
  <cp:keywords/>
  <dc:description/>
  <cp:lastModifiedBy>איבט סלייח</cp:lastModifiedBy>
  <cp:revision>4</cp:revision>
  <dcterms:created xsi:type="dcterms:W3CDTF">2023-03-11T21:51:00Z</dcterms:created>
  <dcterms:modified xsi:type="dcterms:W3CDTF">2023-03-11T22:45:00Z</dcterms:modified>
</cp:coreProperties>
</file>