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7AB10" w14:textId="57703B0D" w:rsidR="00AF6FE2" w:rsidRDefault="00E4577C">
      <w:pPr>
        <w:rPr>
          <w:rtl/>
        </w:rPr>
      </w:pPr>
      <w:hyperlink r:id="rId7" w:history="1">
        <w:r w:rsidRPr="00E4577C">
          <w:rPr>
            <w:rStyle w:val="Hyperlink"/>
            <w:rtl/>
          </w:rPr>
          <w:t>النبي صفنيا</w:t>
        </w:r>
      </w:hyperlink>
    </w:p>
    <w:p w14:paraId="70AC31A8" w14:textId="0F6955D5" w:rsidR="00E4577C" w:rsidRDefault="00E4577C" w:rsidP="00E4577C">
      <w:pPr>
        <w:bidi w:val="0"/>
      </w:pPr>
      <w:r w:rsidRPr="00E4577C">
        <w:t>Philippe Laügt</w:t>
      </w:r>
    </w:p>
    <w:p w14:paraId="4480F57A" w14:textId="4B86B54F" w:rsidR="00E4577C" w:rsidRDefault="00E4577C">
      <w:pPr>
        <w:rPr>
          <w:rtl/>
          <w:lang w:bidi="ar-SA"/>
        </w:rPr>
      </w:pPr>
      <w:r>
        <w:rPr>
          <w:rFonts w:hint="cs"/>
          <w:rtl/>
          <w:lang w:bidi="ar-SA"/>
        </w:rPr>
        <w:t>مقدمة</w:t>
      </w:r>
    </w:p>
    <w:p w14:paraId="6A08BC82" w14:textId="26ADE643" w:rsidR="00E4577C" w:rsidRDefault="008F1B3A">
      <w:pPr>
        <w:rPr>
          <w:rtl/>
          <w:lang w:bidi="ar-SA"/>
        </w:rPr>
      </w:pPr>
      <w:r>
        <w:rPr>
          <w:rFonts w:hint="cs"/>
          <w:rtl/>
          <w:lang w:bidi="ar-SA"/>
        </w:rPr>
        <w:t>الكاتب وزمنه</w:t>
      </w:r>
    </w:p>
    <w:p w14:paraId="30CE2054" w14:textId="65C0C10F" w:rsidR="008F1B3A" w:rsidRDefault="008F1B3A">
      <w:pPr>
        <w:rPr>
          <w:rtl/>
          <w:lang w:bidi="ar-SA"/>
        </w:rPr>
      </w:pPr>
      <w:r>
        <w:rPr>
          <w:rFonts w:hint="cs"/>
          <w:rtl/>
          <w:lang w:bidi="ar-SA"/>
        </w:rPr>
        <w:t>صفنيا هو آخر الأنبياء الذين تنبأوا ما قبل السبي البابلي. معنى اسمه "الذي يُخفيه الرب"، أو "السهران عليه بالذات" (أو "يحميه"). أصله ذُكر إلى الجيل الرابع، وهو أمر غير عادي في الكتاب المقدس. إن هذا كما يبدو حدث لتتم الإشارة إلى أصله الملوكي. إن انطلقنا من العدد الأول فإن صفنيا هو أحد أحفاد أحفاد حزقيا، الملك التقي</w:t>
      </w:r>
      <w:r>
        <w:rPr>
          <w:rStyle w:val="FootnoteReference"/>
          <w:rtl/>
          <w:lang w:bidi="ar-SA"/>
        </w:rPr>
        <w:footnoteReference w:id="1"/>
      </w:r>
      <w:r>
        <w:rPr>
          <w:rFonts w:hint="cs"/>
          <w:rtl/>
          <w:lang w:bidi="ar-SA"/>
        </w:rPr>
        <w:t>.</w:t>
      </w:r>
    </w:p>
    <w:p w14:paraId="10902CC6" w14:textId="255E9F4D" w:rsidR="008F1B3A" w:rsidRDefault="008F1B3A">
      <w:pPr>
        <w:rPr>
          <w:rtl/>
          <w:lang w:bidi="ar-SA"/>
        </w:rPr>
      </w:pPr>
      <w:r>
        <w:rPr>
          <w:rFonts w:hint="cs"/>
          <w:rtl/>
          <w:lang w:bidi="ar-SA"/>
        </w:rPr>
        <w:t xml:space="preserve">عاش صفنيا في أيام يوشيا، ملك يهوذا، وبالتالي هو معاصر لإرميا، ناحوم ويونان. نبوته وقعت في زمن الإصلاح الذي قام به هذا الملك، أي في الفترة ما بين السنة الـ 12. والـ 18. من حُكم يوشيا (ما بين سنة 630 و 620 ق.م.). وكان قد تم تطهير الهيكل اللازم، لأن </w:t>
      </w:r>
      <w:r w:rsidR="008A3448">
        <w:rPr>
          <w:rFonts w:hint="cs"/>
          <w:rtl/>
          <w:lang w:bidi="ar-SA"/>
        </w:rPr>
        <w:t>بشارة صفنيا ترينا بأن عبادة الله عادت ثانية. لكي نفهم كلام النبي بصورة أفضل لا بد لنا أن نفهم حالة يهوذا وطابع الأيام التي كان يعيش فيها. من بعد الإصلاح الكبير، الذي كان قد ابتدأ تلاه ارتداد أشد، بحيث أن يهوذا سقط أخيرًا في عبادة الأصنام. الإصلاح في حُكم يوشيا لم يصل إلا إلى جزء صغير من الشعب. الجموع مالت إلى الصنام وإلى رجسة الأمم، التي كان ينبغي عليهم أن ينفصلوا عنها (صفنيا 1: 4). يقول الرب: "</w:t>
      </w:r>
      <w:r w:rsidR="008A3448" w:rsidRPr="008A3448">
        <w:rPr>
          <w:rtl/>
          <w:lang w:bidi="ar-SA"/>
        </w:rPr>
        <w:t xml:space="preserve"> وَفِي كُلِّ هذَا أَيْضًا لَمْ تَرْجعْ إِلَيَّ أُخْتُهَا الْخَائِنَةُ يَهُوذَا بِكُلِّ قَلْبِهَا، بَلْ بِالْكَذِبِ</w:t>
      </w:r>
      <w:r w:rsidR="008A3448">
        <w:rPr>
          <w:rFonts w:hint="cs"/>
          <w:rtl/>
          <w:lang w:bidi="ar-SA"/>
        </w:rPr>
        <w:t>" (إرمياء 3: 10).</w:t>
      </w:r>
    </w:p>
    <w:p w14:paraId="6300A6E9" w14:textId="26B77997" w:rsidR="008A3448" w:rsidRDefault="008A3448">
      <w:pPr>
        <w:rPr>
          <w:rtl/>
          <w:lang w:bidi="ar-SA"/>
        </w:rPr>
      </w:pPr>
      <w:r>
        <w:rPr>
          <w:rFonts w:hint="cs"/>
          <w:rtl/>
          <w:lang w:bidi="ar-SA"/>
        </w:rPr>
        <w:t>مثلما حدث مع باقي "الأنبياء الصغار" ابتدأ أولاً بخبر الدينونة. وقد تلتها إنذارات للتوبة. بذلك عُقدت مواعيد رائعة لبقية الشعب التي لها صلة بالفترة ما بعد يوم الرب، عندما سيحكم الرب على كل الأرض.</w:t>
      </w:r>
    </w:p>
    <w:p w14:paraId="5A64CA09" w14:textId="577F416B" w:rsidR="008A3448" w:rsidRDefault="008A3448">
      <w:pPr>
        <w:rPr>
          <w:rtl/>
          <w:lang w:bidi="ar-SA"/>
        </w:rPr>
      </w:pPr>
      <w:r>
        <w:rPr>
          <w:rFonts w:hint="cs"/>
          <w:rtl/>
          <w:lang w:bidi="ar-SA"/>
        </w:rPr>
        <w:t xml:space="preserve">صفنيا أخبر، بأن القضاء الآتي لن يتفادى أحد، يهوذا وأورشليم </w:t>
      </w:r>
      <w:r w:rsidR="00801871">
        <w:rPr>
          <w:rFonts w:hint="cs"/>
          <w:rtl/>
          <w:lang w:bidi="ar-SA"/>
        </w:rPr>
        <w:t xml:space="preserve">لن تحظى بالحفظ. إن سقوط أورشليم هذا يُشير كمثال إلى "يوم الرب" الذي سيأتي. فعن هذا "اليوم" </w:t>
      </w:r>
      <w:r w:rsidR="002C2CC6">
        <w:rPr>
          <w:rFonts w:hint="cs"/>
          <w:rtl/>
          <w:lang w:bidi="ar-SA"/>
        </w:rPr>
        <w:t>تكلّم أيضًا عوبديا ويوئيل، لكن بالنسبة للنبي صفنيا كان هذا اليوم الموضوع الرئيسي في نبوته.</w:t>
      </w:r>
    </w:p>
    <w:p w14:paraId="6210C6AF" w14:textId="3A3B8E0E" w:rsidR="002C2CC6" w:rsidRDefault="002C2CC6">
      <w:pPr>
        <w:rPr>
          <w:rtl/>
          <w:lang w:bidi="ar-SA"/>
        </w:rPr>
      </w:pPr>
      <w:r>
        <w:rPr>
          <w:rFonts w:hint="cs"/>
          <w:rtl/>
          <w:lang w:bidi="ar-SA"/>
        </w:rPr>
        <w:t>تلخيص السفر</w:t>
      </w:r>
    </w:p>
    <w:p w14:paraId="469386C4" w14:textId="6D5694B2" w:rsidR="002C2CC6" w:rsidRDefault="002C2CC6">
      <w:pPr>
        <w:rPr>
          <w:rtl/>
          <w:lang w:bidi="ar-SA"/>
        </w:rPr>
      </w:pPr>
      <w:r>
        <w:rPr>
          <w:rFonts w:hint="cs"/>
          <w:rtl/>
          <w:lang w:bidi="ar-SA"/>
        </w:rPr>
        <w:t>في الإصحاح الأول يوصف يوم الرب كيوم الغضب، ضيق وضيقة (صفنيا 1: 15). في الإصحاح الثاني تبدأ الإنذارات. يتم استدعاء الأمة للتوبة وبأن تطلب الرب لكي يُخفي الرب الأمناء في يوم غضبه. من ثم أخبر صفنيا بأن القضاء لن يتفادى الجزر. الإصحاح الأخير يرينا أخيرًا كيف سيدين الرب الأشرار وسط شعبه. البقية التقية اليهودية ستختبر بذلك المقاصد الإلهية. إنها ستكون منتظرة مجيء الرب وسط الضيقة.</w:t>
      </w:r>
    </w:p>
    <w:p w14:paraId="5D798D95" w14:textId="77777777" w:rsidR="00FE387B" w:rsidRDefault="002C2CC6">
      <w:pPr>
        <w:rPr>
          <w:rtl/>
          <w:lang w:bidi="ar-SA"/>
        </w:rPr>
        <w:sectPr w:rsidR="00FE387B">
          <w:pgSz w:w="12240" w:h="15840"/>
          <w:pgMar w:top="1440" w:right="1800" w:bottom="1440" w:left="1800" w:header="720" w:footer="720" w:gutter="0"/>
          <w:cols w:space="720"/>
          <w:docGrid w:linePitch="360"/>
        </w:sectPr>
      </w:pPr>
      <w:r>
        <w:rPr>
          <w:rFonts w:hint="cs"/>
          <w:rtl/>
          <w:lang w:bidi="ar-SA"/>
        </w:rPr>
        <w:t>من ثم تلى ذلك بشارة الخلاص السارة للمختارين. وكمَن قد وُلدوا ثانية سيشكلون بقية بائسة وذليلة، شعبًا يعيش منفصلاً عن الشر ومتكلاً على الله. من ثم سيعلو صوت التسبيح: "</w:t>
      </w:r>
      <w:r w:rsidRPr="002C2CC6">
        <w:rPr>
          <w:rtl/>
        </w:rPr>
        <w:t xml:space="preserve"> </w:t>
      </w:r>
      <w:r w:rsidRPr="002C2CC6">
        <w:rPr>
          <w:rtl/>
          <w:lang w:bidi="ar-SA"/>
        </w:rPr>
        <w:t>تَرَنَّمِي يَا ابْنَةَ صِهْيَوْنَ! اهْتُفْ يَا إِسْرَائِيلُ!</w:t>
      </w:r>
      <w:r>
        <w:rPr>
          <w:rFonts w:hint="cs"/>
          <w:rtl/>
          <w:lang w:bidi="ar-SA"/>
        </w:rPr>
        <w:t>" (صفنيا 3: 14). الرب أبعد أقضيته. من تلك اللحظة سيجول الرب في شخص المسيح وسط شعبه.</w:t>
      </w:r>
    </w:p>
    <w:p w14:paraId="0B35B3A5" w14:textId="2B241773" w:rsidR="002C2CC6" w:rsidRDefault="00FE387B">
      <w:pPr>
        <w:rPr>
          <w:rtl/>
          <w:lang w:bidi="ar-SA"/>
        </w:rPr>
      </w:pPr>
      <w:hyperlink r:id="rId8" w:history="1">
        <w:r w:rsidRPr="00FE387B">
          <w:rPr>
            <w:rStyle w:val="Hyperlink"/>
            <w:rFonts w:hint="cs"/>
            <w:rtl/>
            <w:lang w:bidi="ar-SA"/>
          </w:rPr>
          <w:t>إصحاح 1</w:t>
        </w:r>
      </w:hyperlink>
    </w:p>
    <w:p w14:paraId="3A5AFE77" w14:textId="12DCBF33" w:rsidR="0016385E" w:rsidRDefault="0016385E">
      <w:pPr>
        <w:rPr>
          <w:rtl/>
          <w:lang w:bidi="ar-SA"/>
        </w:rPr>
      </w:pPr>
      <w:r>
        <w:rPr>
          <w:rFonts w:hint="cs"/>
          <w:rtl/>
          <w:lang w:bidi="ar-SA"/>
        </w:rPr>
        <w:t>القضاء الشامل</w:t>
      </w:r>
    </w:p>
    <w:p w14:paraId="417C7406" w14:textId="4C766A09" w:rsidR="0016385E" w:rsidRDefault="0016385E">
      <w:pPr>
        <w:rPr>
          <w:rtl/>
          <w:lang w:bidi="ar-SA"/>
        </w:rPr>
      </w:pPr>
      <w:r>
        <w:rPr>
          <w:rFonts w:hint="cs"/>
          <w:rtl/>
          <w:lang w:bidi="ar-SA"/>
        </w:rPr>
        <w:t xml:space="preserve">1. القضاء على كل العالم: عدد 1 </w:t>
      </w:r>
      <w:r>
        <w:rPr>
          <w:rtl/>
          <w:lang w:bidi="ar-SA"/>
        </w:rPr>
        <w:t>–</w:t>
      </w:r>
      <w:r>
        <w:rPr>
          <w:rFonts w:hint="cs"/>
          <w:rtl/>
          <w:lang w:bidi="ar-SA"/>
        </w:rPr>
        <w:t xml:space="preserve"> 3.</w:t>
      </w:r>
    </w:p>
    <w:p w14:paraId="15AFDB0B" w14:textId="5313D18D" w:rsidR="00FE387B" w:rsidRDefault="00FE387B">
      <w:pPr>
        <w:rPr>
          <w:rtl/>
          <w:lang w:bidi="ar-SA"/>
        </w:rPr>
      </w:pPr>
      <w:r>
        <w:rPr>
          <w:rFonts w:hint="cs"/>
          <w:rtl/>
          <w:lang w:bidi="ar-SA"/>
        </w:rPr>
        <w:t>من كلماتها الأولى تفاجئنا النبوة بأسلوبها الحيوي. الرب أنبأ بأنه سيوقع خرابًا رهيبًا على الأرض ليعاقب الناس. كل شيء سيُدمّر: بشر حيوانات حتى طيور السماء وسمك البحر</w:t>
      </w:r>
      <w:r>
        <w:rPr>
          <w:rStyle w:val="FootnoteReference"/>
          <w:rtl/>
          <w:lang w:bidi="ar-SA"/>
        </w:rPr>
        <w:footnoteReference w:id="2"/>
      </w:r>
      <w:r>
        <w:rPr>
          <w:rFonts w:hint="cs"/>
          <w:rtl/>
          <w:lang w:bidi="ar-SA"/>
        </w:rPr>
        <w:t>. إن هذا السرد المفصّل يُثير الرعب من حجم القضاء الكوني. فالله سيقطع الأصنام وعابديها. إنه لم يُشر فقط إلى أرض إسرائيل، كما توضح مقاطع أخرى في هذا السفر (1: 17؛ 2: 4، 5، 8، 12، 13). كما ويتم ذكر جزر الأمم أيضًا (2: 11).</w:t>
      </w:r>
    </w:p>
    <w:p w14:paraId="4A612147" w14:textId="07ECC7C9" w:rsidR="00FE387B" w:rsidRDefault="00FE387B">
      <w:pPr>
        <w:rPr>
          <w:rtl/>
          <w:lang w:bidi="ar-SA"/>
        </w:rPr>
      </w:pPr>
      <w:r>
        <w:rPr>
          <w:rFonts w:hint="cs"/>
          <w:rtl/>
          <w:lang w:bidi="ar-SA"/>
        </w:rPr>
        <w:t xml:space="preserve">جزءٌ من هذه النبوات كانت قد تمت في الماضي، لكن يوم الرب العظيم لا زال لم يأتِ بعد. </w:t>
      </w:r>
      <w:r w:rsidR="00110439">
        <w:rPr>
          <w:rFonts w:hint="cs"/>
          <w:rtl/>
          <w:lang w:bidi="ar-SA"/>
        </w:rPr>
        <w:t xml:space="preserve">عن هذا اليوم كان قد تكلم الأنبياء، ومن ثم الرب يسوع بنفسه وأخيرًا الرسل أيضًا. فمن أيام صفنيا تم وصفه كحدث في المستقبل، وهو لا زال كذلك. لكن دعونا كمؤمنين لا ننسى بأنه سيسبقه مجيء الرب لاختطاف الكنيسة كما قد وعد (2. بطرس 3: 2 </w:t>
      </w:r>
      <w:r w:rsidR="00110439">
        <w:rPr>
          <w:rtl/>
          <w:lang w:bidi="ar-SA"/>
        </w:rPr>
        <w:t>–</w:t>
      </w:r>
      <w:r w:rsidR="00110439">
        <w:rPr>
          <w:rFonts w:hint="cs"/>
          <w:rtl/>
          <w:lang w:bidi="ar-SA"/>
        </w:rPr>
        <w:t xml:space="preserve"> 4).</w:t>
      </w:r>
    </w:p>
    <w:p w14:paraId="5492287A" w14:textId="76254F99" w:rsidR="0016385E" w:rsidRDefault="0016385E">
      <w:pPr>
        <w:rPr>
          <w:rtl/>
          <w:lang w:bidi="ar-SA"/>
        </w:rPr>
      </w:pPr>
      <w:r>
        <w:rPr>
          <w:rFonts w:hint="cs"/>
          <w:rtl/>
          <w:lang w:bidi="ar-SA"/>
        </w:rPr>
        <w:t xml:space="preserve">2. القضاء سيحل على جميع فاعلي الشر في يهوذا: عدد 4 </w:t>
      </w:r>
      <w:r>
        <w:rPr>
          <w:rtl/>
          <w:lang w:bidi="ar-SA"/>
        </w:rPr>
        <w:t>–</w:t>
      </w:r>
      <w:r>
        <w:rPr>
          <w:rFonts w:hint="cs"/>
          <w:rtl/>
          <w:lang w:bidi="ar-SA"/>
        </w:rPr>
        <w:t xml:space="preserve"> 13</w:t>
      </w:r>
    </w:p>
    <w:p w14:paraId="02698B75" w14:textId="11880101" w:rsidR="0016385E" w:rsidRDefault="0016385E">
      <w:pPr>
        <w:rPr>
          <w:rFonts w:hint="cs"/>
          <w:rtl/>
          <w:lang w:bidi="ar-SA"/>
        </w:rPr>
      </w:pPr>
      <w:r>
        <w:rPr>
          <w:rFonts w:hint="cs"/>
          <w:rtl/>
          <w:lang w:bidi="ar-SA"/>
        </w:rPr>
        <w:t xml:space="preserve">الأعداد 4 </w:t>
      </w:r>
      <w:r>
        <w:rPr>
          <w:rtl/>
          <w:lang w:bidi="ar-SA"/>
        </w:rPr>
        <w:t>–</w:t>
      </w:r>
      <w:r>
        <w:rPr>
          <w:rFonts w:hint="cs"/>
          <w:rtl/>
          <w:lang w:bidi="ar-SA"/>
        </w:rPr>
        <w:t xml:space="preserve"> 6 تؤكّد على سبب هذا القضاء </w:t>
      </w:r>
      <w:hyperlink r:id="rId9" w:anchor=":~:text=dieses%20vernichtenden%20Gerichts%3A-,die%20Ausweitung%20des,-praktizierten%20G%C3%B6tzendienstes%2C%20der" w:history="1">
        <w:r w:rsidRPr="0016385E">
          <w:rPr>
            <w:rStyle w:val="Hyperlink"/>
            <w:rFonts w:hint="cs"/>
            <w:rtl/>
            <w:lang w:bidi="ar-SA"/>
          </w:rPr>
          <w:t>المدمّر</w:t>
        </w:r>
      </w:hyperlink>
      <w:r>
        <w:rPr>
          <w:rFonts w:hint="cs"/>
          <w:rtl/>
          <w:lang w:bidi="ar-SA"/>
        </w:rPr>
        <w:t>:</w:t>
      </w:r>
    </w:p>
    <w:sectPr w:rsidR="0016385E">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92B26" w14:textId="77777777" w:rsidR="00AE2BD8" w:rsidRDefault="00AE2BD8" w:rsidP="008F1B3A">
      <w:pPr>
        <w:spacing w:after="0" w:line="240" w:lineRule="auto"/>
      </w:pPr>
      <w:r>
        <w:separator/>
      </w:r>
    </w:p>
  </w:endnote>
  <w:endnote w:type="continuationSeparator" w:id="0">
    <w:p w14:paraId="3322C23C" w14:textId="77777777" w:rsidR="00AE2BD8" w:rsidRDefault="00AE2BD8" w:rsidP="008F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0D67C" w14:textId="77777777" w:rsidR="00AE2BD8" w:rsidRDefault="00AE2BD8" w:rsidP="008F1B3A">
      <w:pPr>
        <w:spacing w:after="0" w:line="240" w:lineRule="auto"/>
      </w:pPr>
      <w:r>
        <w:separator/>
      </w:r>
    </w:p>
  </w:footnote>
  <w:footnote w:type="continuationSeparator" w:id="0">
    <w:p w14:paraId="284B8365" w14:textId="77777777" w:rsidR="00AE2BD8" w:rsidRDefault="00AE2BD8" w:rsidP="008F1B3A">
      <w:pPr>
        <w:spacing w:after="0" w:line="240" w:lineRule="auto"/>
      </w:pPr>
      <w:r>
        <w:continuationSeparator/>
      </w:r>
    </w:p>
  </w:footnote>
  <w:footnote w:id="1">
    <w:p w14:paraId="2EBB389D" w14:textId="324C5CF6" w:rsidR="008F1B3A" w:rsidRPr="008F1B3A" w:rsidRDefault="008F1B3A">
      <w:pPr>
        <w:pStyle w:val="FootnoteText"/>
        <w:rPr>
          <w:b/>
          <w:bCs/>
          <w:sz w:val="26"/>
          <w:szCs w:val="26"/>
        </w:rPr>
      </w:pPr>
      <w:r w:rsidRPr="008F1B3A">
        <w:rPr>
          <w:rStyle w:val="FootnoteReference"/>
          <w:b/>
          <w:bCs/>
          <w:sz w:val="26"/>
          <w:szCs w:val="26"/>
        </w:rPr>
        <w:footnoteRef/>
      </w:r>
      <w:r w:rsidRPr="008F1B3A">
        <w:rPr>
          <w:b/>
          <w:bCs/>
          <w:sz w:val="26"/>
          <w:szCs w:val="26"/>
          <w:rtl/>
        </w:rPr>
        <w:t xml:space="preserve"> </w:t>
      </w:r>
      <w:r w:rsidR="002C2CC6">
        <w:rPr>
          <w:rFonts w:hint="cs"/>
          <w:b/>
          <w:bCs/>
          <w:sz w:val="26"/>
          <w:szCs w:val="26"/>
          <w:rtl/>
        </w:rPr>
        <w:t xml:space="preserve">ملاحظة المترجم: إن المكتوب في </w:t>
      </w:r>
      <w:r w:rsidR="00FE387B">
        <w:rPr>
          <w:rFonts w:hint="cs"/>
          <w:b/>
          <w:bCs/>
          <w:sz w:val="26"/>
          <w:szCs w:val="26"/>
          <w:rtl/>
        </w:rPr>
        <w:t>ترجمة إلبرفلدر هنا هو ليس اسم حزِقْيا وإنما حزقيّا، غير أن الكثير من الدارسين يدّعون بأنه يتكلم عن ملك يهوذا.</w:t>
      </w:r>
    </w:p>
  </w:footnote>
  <w:footnote w:id="2">
    <w:p w14:paraId="31EA7C32" w14:textId="4871C43F" w:rsidR="00FE387B" w:rsidRPr="00FE387B" w:rsidRDefault="00FE387B">
      <w:pPr>
        <w:pStyle w:val="FootnoteText"/>
        <w:rPr>
          <w:rFonts w:hint="cs"/>
          <w:b/>
          <w:bCs/>
          <w:sz w:val="26"/>
          <w:szCs w:val="26"/>
          <w:rtl/>
        </w:rPr>
      </w:pPr>
      <w:r w:rsidRPr="00FE387B">
        <w:rPr>
          <w:b/>
          <w:bCs/>
          <w:sz w:val="26"/>
          <w:szCs w:val="26"/>
        </w:rPr>
        <w:footnoteRef/>
      </w:r>
      <w:r w:rsidRPr="00FE387B">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50"/>
    <w:rsid w:val="00110439"/>
    <w:rsid w:val="0016385E"/>
    <w:rsid w:val="002C2CC6"/>
    <w:rsid w:val="00801871"/>
    <w:rsid w:val="008A3448"/>
    <w:rsid w:val="008E0EC1"/>
    <w:rsid w:val="008F1B3A"/>
    <w:rsid w:val="00AE2BD8"/>
    <w:rsid w:val="00AF6FE2"/>
    <w:rsid w:val="00CA7E50"/>
    <w:rsid w:val="00E4577C"/>
    <w:rsid w:val="00FE38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3F64"/>
  <w15:chartTrackingRefBased/>
  <w15:docId w15:val="{E3E0BF22-B7BC-42AF-84F0-C549DE94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77C"/>
    <w:rPr>
      <w:color w:val="0563C1" w:themeColor="hyperlink"/>
      <w:u w:val="single"/>
    </w:rPr>
  </w:style>
  <w:style w:type="character" w:styleId="UnresolvedMention">
    <w:name w:val="Unresolved Mention"/>
    <w:basedOn w:val="DefaultParagraphFont"/>
    <w:uiPriority w:val="99"/>
    <w:semiHidden/>
    <w:unhideWhenUsed/>
    <w:rsid w:val="00E4577C"/>
    <w:rPr>
      <w:color w:val="605E5C"/>
      <w:shd w:val="clear" w:color="auto" w:fill="E1DFDD"/>
    </w:rPr>
  </w:style>
  <w:style w:type="paragraph" w:styleId="FootnoteText">
    <w:name w:val="footnote text"/>
    <w:basedOn w:val="Normal"/>
    <w:link w:val="FootnoteTextChar"/>
    <w:uiPriority w:val="99"/>
    <w:semiHidden/>
    <w:unhideWhenUsed/>
    <w:rsid w:val="008F1B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1B3A"/>
    <w:rPr>
      <w:noProof/>
      <w:sz w:val="20"/>
      <w:szCs w:val="20"/>
      <w:lang w:bidi="ar-EG"/>
    </w:rPr>
  </w:style>
  <w:style w:type="character" w:styleId="FootnoteReference">
    <w:name w:val="footnote reference"/>
    <w:basedOn w:val="DefaultParagraphFont"/>
    <w:uiPriority w:val="99"/>
    <w:semiHidden/>
    <w:unhideWhenUsed/>
    <w:rsid w:val="008F1B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621/der-prophet-zephanja/kapitel-1" TargetMode="External"/><Relationship Id="rId3" Type="http://schemas.openxmlformats.org/officeDocument/2006/relationships/settings" Target="settings.xml"/><Relationship Id="rId7" Type="http://schemas.openxmlformats.org/officeDocument/2006/relationships/hyperlink" Target="https://www.bibelkommentare.de/kommentare/360/der-prophet-zephanj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2621/der-prophet-zephanja/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3F9C1-FAE3-4F6D-8D9C-B9874405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4</cp:revision>
  <dcterms:created xsi:type="dcterms:W3CDTF">2023-05-17T09:46:00Z</dcterms:created>
  <dcterms:modified xsi:type="dcterms:W3CDTF">2023-05-17T10:42:00Z</dcterms:modified>
</cp:coreProperties>
</file>