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FC615" w14:textId="5E1BEEB0" w:rsidR="00BE011D" w:rsidRDefault="000C3FEB">
      <w:pPr>
        <w:rPr>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https://www.bibelkommentare.de/kommentare/k-5680/botschafter-des-heils-in-christo-1886/der-tag-des-herrn</w:instrText>
      </w:r>
      <w:r>
        <w:rPr>
          <w:rFonts w:hint="cs"/>
          <w:rtl/>
        </w:rPr>
        <w:instrText>"</w:instrText>
      </w:r>
      <w:r>
        <w:rPr>
          <w:rtl/>
        </w:rPr>
        <w:instrText xml:space="preserve"> </w:instrText>
      </w:r>
      <w:r>
        <w:rPr>
          <w:rtl/>
        </w:rPr>
      </w:r>
      <w:r>
        <w:rPr>
          <w:rtl/>
        </w:rPr>
        <w:fldChar w:fldCharType="separate"/>
      </w:r>
      <w:r w:rsidRPr="000C3FEB">
        <w:rPr>
          <w:rStyle w:val="Hyperlink"/>
          <w:rFonts w:hint="cs"/>
          <w:rtl/>
        </w:rPr>
        <w:t>يوم الرب</w:t>
      </w:r>
      <w:r>
        <w:rPr>
          <w:rtl/>
        </w:rPr>
        <w:fldChar w:fldCharType="end"/>
      </w:r>
    </w:p>
    <w:p w14:paraId="6233380E" w14:textId="0F82C134" w:rsidR="000C3FEB" w:rsidRDefault="000C3FEB">
      <w:pPr>
        <w:rPr>
          <w:rtl/>
        </w:rPr>
      </w:pPr>
      <w:r>
        <w:rPr>
          <w:rFonts w:hint="cs"/>
          <w:rtl/>
        </w:rPr>
        <w:t>البشير بالخلاص في المسيح 1886</w:t>
      </w:r>
    </w:p>
    <w:p w14:paraId="47E6BE28" w14:textId="0301DFF6" w:rsidR="00374B1C" w:rsidRDefault="00374B1C">
      <w:pPr>
        <w:rPr>
          <w:rtl/>
        </w:rPr>
      </w:pPr>
      <w:r>
        <w:rPr>
          <w:rFonts w:hint="cs"/>
          <w:rtl/>
        </w:rPr>
        <w:t>الإنسان كما وكل الخليقة لا بد وأن يكونا في رباط مع الله مُعترف من قِبله وبقصد من عنده؛ وإلا فكل شيء سيكون في حالة فوضى. إن حالة الفوضى هذه تميّز الدهر الحاضر من لحظة انقطاع علاقة الإنسان الأولى بالله بسبب الخطية. إن يوم الرب سيُنهي هذه الحالة وسيُعيد كل شيء إلى رباطه الصحيح بالله. هذا هو هدف هذا اليوم. المسيح، الإنسان الثاني، آدم الأخير، سيملك؛ وكل فترة حكمه صفتها: "يوم الرب".</w:t>
      </w:r>
    </w:p>
    <w:p w14:paraId="743CB313" w14:textId="6F7D1922" w:rsidR="00374B1C" w:rsidRDefault="00374B1C">
      <w:pPr>
        <w:rPr>
          <w:rtl/>
        </w:rPr>
      </w:pPr>
      <w:r>
        <w:rPr>
          <w:rFonts w:hint="cs"/>
          <w:rtl/>
        </w:rPr>
        <w:t>لكن كثيرًا ما يُطرح السؤال: "متى سيبدأ هذا اليوم، ومتى سينتهي؟" والإجابة على هذا السؤال باختصار هو غاية هذه السطور.</w:t>
      </w:r>
    </w:p>
    <w:p w14:paraId="274F47D2" w14:textId="68A851C3" w:rsidR="00374B1C" w:rsidRDefault="00043A77">
      <w:pPr>
        <w:rPr>
          <w:rtl/>
        </w:rPr>
      </w:pPr>
      <w:r>
        <w:rPr>
          <w:rFonts w:hint="cs"/>
          <w:rtl/>
        </w:rPr>
        <w:t>إن كان هذا اليوم</w:t>
      </w:r>
      <w:r w:rsidRPr="00043A77">
        <w:rPr>
          <w:rtl/>
        </w:rPr>
        <w:t xml:space="preserve"> </w:t>
      </w:r>
      <w:r w:rsidRPr="00043A77">
        <w:rPr>
          <w:rtl/>
        </w:rPr>
        <w:t>ما يميز مُلك المسيح</w:t>
      </w:r>
      <w:r>
        <w:rPr>
          <w:rFonts w:hint="cs"/>
          <w:rtl/>
        </w:rPr>
        <w:t>، وإن كانت غاية هذا المُلك إعادة كل الأمور التي في السماوات وعلى الأرض إلى نصابها الحقيقي بالله، فإننا بالتالي نكون قد أشرنا إلى بداية ونهاية هذا اليوم بوضوح. إنه أولاً من دون أي شك بأن المسيح لن يتولى حكمه قبل اتحاد القديسين معه في المجد؛ لأن أولئك سيملكون معه. "</w:t>
      </w:r>
      <w:r w:rsidRPr="00043A77">
        <w:rPr>
          <w:rtl/>
        </w:rPr>
        <w:t xml:space="preserve"> </w:t>
      </w:r>
      <w:r w:rsidRPr="00043A77">
        <w:rPr>
          <w:rFonts w:ascii="Times New Roman" w:hAnsi="Times New Roman" w:cs="Times New Roman" w:hint="cs"/>
          <w:rtl/>
        </w:rPr>
        <w:t>​</w:t>
      </w:r>
      <w:r w:rsidRPr="00043A77">
        <w:rPr>
          <w:rFonts w:hint="cs"/>
          <w:rtl/>
        </w:rPr>
        <w:t>أَلَسْتُمْ</w:t>
      </w:r>
      <w:r w:rsidRPr="00043A77">
        <w:rPr>
          <w:rtl/>
        </w:rPr>
        <w:t xml:space="preserve"> </w:t>
      </w:r>
      <w:r w:rsidRPr="00043A77">
        <w:rPr>
          <w:rFonts w:hint="cs"/>
          <w:rtl/>
        </w:rPr>
        <w:t>تَعْلَمُونَ</w:t>
      </w:r>
      <w:r w:rsidRPr="00043A77">
        <w:rPr>
          <w:rtl/>
        </w:rPr>
        <w:t xml:space="preserve"> </w:t>
      </w:r>
      <w:r w:rsidRPr="00043A77">
        <w:rPr>
          <w:rFonts w:hint="cs"/>
          <w:rtl/>
        </w:rPr>
        <w:t>أَنَّ</w:t>
      </w:r>
      <w:r w:rsidRPr="00043A77">
        <w:rPr>
          <w:rtl/>
        </w:rPr>
        <w:t xml:space="preserve"> </w:t>
      </w:r>
      <w:r w:rsidRPr="00043A77">
        <w:rPr>
          <w:rFonts w:hint="cs"/>
          <w:rtl/>
        </w:rPr>
        <w:t>الْقِدِّيسِينَ</w:t>
      </w:r>
      <w:r w:rsidRPr="00043A77">
        <w:rPr>
          <w:rtl/>
        </w:rPr>
        <w:t xml:space="preserve"> </w:t>
      </w:r>
      <w:r w:rsidRPr="00043A77">
        <w:rPr>
          <w:rFonts w:hint="cs"/>
          <w:rtl/>
        </w:rPr>
        <w:t>سَيَدِينُونَ</w:t>
      </w:r>
      <w:r w:rsidRPr="00043A77">
        <w:rPr>
          <w:rtl/>
        </w:rPr>
        <w:t xml:space="preserve"> </w:t>
      </w:r>
      <w:r w:rsidRPr="00043A77">
        <w:rPr>
          <w:rFonts w:hint="cs"/>
          <w:rtl/>
        </w:rPr>
        <w:t>الْعَالَمَ؟</w:t>
      </w:r>
      <w:r w:rsidRPr="00043A77">
        <w:rPr>
          <w:rtl/>
        </w:rPr>
        <w:t xml:space="preserve"> </w:t>
      </w:r>
      <w:r>
        <w:rPr>
          <w:rFonts w:ascii="Times New Roman" w:hAnsi="Times New Roman" w:cs="Times New Roman" w:hint="cs"/>
          <w:rtl/>
        </w:rPr>
        <w:t>...</w:t>
      </w:r>
      <w:r w:rsidRPr="00043A77">
        <w:rPr>
          <w:rFonts w:ascii="Times New Roman" w:hAnsi="Times New Roman" w:cs="Times New Roman" w:hint="cs"/>
          <w:rtl/>
        </w:rPr>
        <w:t>​</w:t>
      </w:r>
      <w:r w:rsidRPr="00043A77">
        <w:rPr>
          <w:rtl/>
        </w:rPr>
        <w:t xml:space="preserve"> </w:t>
      </w:r>
      <w:r w:rsidRPr="00043A77">
        <w:rPr>
          <w:rFonts w:ascii="Times New Roman" w:hAnsi="Times New Roman" w:cs="Times New Roman" w:hint="cs"/>
          <w:rtl/>
        </w:rPr>
        <w:t>​</w:t>
      </w:r>
      <w:r w:rsidRPr="00043A77">
        <w:rPr>
          <w:rFonts w:hint="cs"/>
          <w:rtl/>
        </w:rPr>
        <w:t>أَلَسْتُمْ</w:t>
      </w:r>
      <w:r w:rsidRPr="00043A77">
        <w:rPr>
          <w:rtl/>
        </w:rPr>
        <w:t xml:space="preserve"> </w:t>
      </w:r>
      <w:r w:rsidRPr="00043A77">
        <w:rPr>
          <w:rFonts w:hint="cs"/>
          <w:rtl/>
        </w:rPr>
        <w:t>تَعْلَمُونَ</w:t>
      </w:r>
      <w:r w:rsidRPr="00043A77">
        <w:rPr>
          <w:rtl/>
        </w:rPr>
        <w:t xml:space="preserve"> </w:t>
      </w:r>
      <w:r w:rsidRPr="00043A77">
        <w:rPr>
          <w:rFonts w:hint="cs"/>
          <w:rtl/>
        </w:rPr>
        <w:t>أَنَّنَا</w:t>
      </w:r>
      <w:r w:rsidRPr="00043A77">
        <w:rPr>
          <w:rtl/>
        </w:rPr>
        <w:t xml:space="preserve"> </w:t>
      </w:r>
      <w:r w:rsidRPr="00043A77">
        <w:rPr>
          <w:rFonts w:hint="cs"/>
          <w:rtl/>
        </w:rPr>
        <w:t>سَنَدِينُ</w:t>
      </w:r>
      <w:r w:rsidRPr="00043A77">
        <w:rPr>
          <w:rtl/>
        </w:rPr>
        <w:t xml:space="preserve"> </w:t>
      </w:r>
      <w:r w:rsidRPr="00043A77">
        <w:rPr>
          <w:rFonts w:hint="cs"/>
          <w:rtl/>
        </w:rPr>
        <w:t>مَلا</w:t>
      </w:r>
      <w:r w:rsidRPr="00043A77">
        <w:rPr>
          <w:rtl/>
        </w:rPr>
        <w:t>َئِكَةً؟</w:t>
      </w:r>
      <w:r>
        <w:rPr>
          <w:rFonts w:hint="cs"/>
          <w:rtl/>
        </w:rPr>
        <w:t xml:space="preserve">" (1. كورنثوس 6: 2 </w:t>
      </w:r>
      <w:r>
        <w:rPr>
          <w:rtl/>
        </w:rPr>
        <w:t>–</w:t>
      </w:r>
      <w:r>
        <w:rPr>
          <w:rFonts w:hint="cs"/>
          <w:rtl/>
        </w:rPr>
        <w:t xml:space="preserve"> 3) "</w:t>
      </w:r>
      <w:r w:rsidRPr="00043A77">
        <w:rPr>
          <w:rtl/>
        </w:rPr>
        <w:t xml:space="preserve"> إِنْ كُنَّا نَصْبِرُ فَسَنَمْلِكُ أَيْضًا مَعَهُ.</w:t>
      </w:r>
      <w:r>
        <w:rPr>
          <w:rFonts w:hint="cs"/>
          <w:rtl/>
        </w:rPr>
        <w:t>" (2. تيموثاوس 2: 12). "</w:t>
      </w:r>
      <w:r w:rsidRPr="00043A77">
        <w:rPr>
          <w:rtl/>
        </w:rPr>
        <w:t xml:space="preserve"> </w:t>
      </w:r>
      <w:r w:rsidRPr="00043A77">
        <w:rPr>
          <w:rtl/>
        </w:rPr>
        <w:t>مُبَارَكٌ وَمُقَدَّسٌ مَنْ لَهُ نَصِيبٌ فِي الْقِيَامَةِ الأُولَى. هؤُلاَءِ لَيْسَ لِلْمَوْتِ الثَّانِي سُلْطَانٌ عَلَيْهِمْ، بَلْ سَيَكُونُونَ كَهَنَةً ِللهِ وَالْمَسِيحِ، وَسَيَمْلِكُونَ مَعَهُ أَلْفَ سَنَةٍ.</w:t>
      </w:r>
      <w:r>
        <w:rPr>
          <w:rFonts w:hint="cs"/>
          <w:rtl/>
        </w:rPr>
        <w:t xml:space="preserve">" (رؤيا 20: 4 </w:t>
      </w:r>
      <w:r>
        <w:rPr>
          <w:rtl/>
        </w:rPr>
        <w:t>–</w:t>
      </w:r>
      <w:r>
        <w:rPr>
          <w:rFonts w:hint="cs"/>
          <w:rtl/>
        </w:rPr>
        <w:t xml:space="preserve"> 6).</w:t>
      </w:r>
    </w:p>
    <w:p w14:paraId="195A6D81" w14:textId="01143516" w:rsidR="00043A77" w:rsidRDefault="00043A77">
      <w:pPr>
        <w:rPr>
          <w:rtl/>
        </w:rPr>
      </w:pPr>
      <w:r>
        <w:rPr>
          <w:rFonts w:hint="cs"/>
          <w:rtl/>
        </w:rPr>
        <w:t>عدا ذلك من الواضح بأن يوم الرب سيأتي كلص في الليل فقط على الذين يقولون: "سلام وأمان!" وليس على القديسين، لأ</w:t>
      </w:r>
      <w:r w:rsidR="0024695B">
        <w:rPr>
          <w:rFonts w:hint="cs"/>
          <w:rtl/>
        </w:rPr>
        <w:t xml:space="preserve">نهم </w:t>
      </w:r>
      <w:r w:rsidR="0024695B" w:rsidRPr="0024695B">
        <w:rPr>
          <w:rtl/>
        </w:rPr>
        <w:t>أَبْنَاءُ نُورٍ وَأَبْنَاءُ نَهَارٍ</w:t>
      </w:r>
      <w:r w:rsidR="0024695B">
        <w:rPr>
          <w:rFonts w:hint="cs"/>
          <w:rtl/>
        </w:rPr>
        <w:t>. "</w:t>
      </w:r>
      <w:r w:rsidR="0024695B" w:rsidRPr="0024695B">
        <w:rPr>
          <w:rtl/>
        </w:rPr>
        <w:t xml:space="preserve"> </w:t>
      </w:r>
      <w:r w:rsidR="0024695B" w:rsidRPr="0024695B">
        <w:rPr>
          <w:rtl/>
        </w:rPr>
        <w:t xml:space="preserve">أَمَّا أَنْتُمْ أَيُّهَا الإِخْوَةُ فَلَسْتُمْ فِي ظُلْمَةٍ حَتَّى يُدْرِكَكُمْ ذلِكَ الْيَوْمُ كَلِصٍّ.  </w:t>
      </w:r>
      <w:r w:rsidR="0024695B" w:rsidRPr="0024695B">
        <w:rPr>
          <w:rFonts w:ascii="Times New Roman" w:hAnsi="Times New Roman" w:cs="Times New Roman" w:hint="cs"/>
          <w:rtl/>
        </w:rPr>
        <w:t>​</w:t>
      </w:r>
      <w:r w:rsidR="0024695B" w:rsidRPr="0024695B">
        <w:rPr>
          <w:rtl/>
        </w:rPr>
        <w:t>5</w:t>
      </w:r>
      <w:r w:rsidR="0024695B" w:rsidRPr="0024695B">
        <w:rPr>
          <w:rFonts w:ascii="Times New Roman" w:hAnsi="Times New Roman" w:cs="Times New Roman" w:hint="cs"/>
          <w:rtl/>
        </w:rPr>
        <w:t>​</w:t>
      </w:r>
      <w:r w:rsidR="0024695B" w:rsidRPr="0024695B">
        <w:rPr>
          <w:rtl/>
        </w:rPr>
        <w:t xml:space="preserve"> </w:t>
      </w:r>
      <w:r w:rsidR="0024695B" w:rsidRPr="0024695B">
        <w:rPr>
          <w:rFonts w:ascii="Times New Roman" w:hAnsi="Times New Roman" w:cs="Times New Roman" w:hint="cs"/>
          <w:rtl/>
        </w:rPr>
        <w:t>​</w:t>
      </w:r>
      <w:r w:rsidR="0024695B" w:rsidRPr="0024695B">
        <w:rPr>
          <w:rFonts w:hint="cs"/>
          <w:rtl/>
        </w:rPr>
        <w:t>جَمِيعُكُمْ</w:t>
      </w:r>
      <w:r w:rsidR="0024695B" w:rsidRPr="0024695B">
        <w:rPr>
          <w:rtl/>
        </w:rPr>
        <w:t xml:space="preserve"> </w:t>
      </w:r>
      <w:r w:rsidR="0024695B" w:rsidRPr="0024695B">
        <w:rPr>
          <w:rFonts w:hint="cs"/>
          <w:rtl/>
        </w:rPr>
        <w:t>أَبْنَاءُ</w:t>
      </w:r>
      <w:r w:rsidR="0024695B" w:rsidRPr="0024695B">
        <w:rPr>
          <w:rtl/>
        </w:rPr>
        <w:t xml:space="preserve"> </w:t>
      </w:r>
      <w:r w:rsidR="0024695B" w:rsidRPr="0024695B">
        <w:rPr>
          <w:rFonts w:hint="cs"/>
          <w:rtl/>
        </w:rPr>
        <w:t>نُورٍ</w:t>
      </w:r>
      <w:r w:rsidR="0024695B" w:rsidRPr="0024695B">
        <w:rPr>
          <w:rtl/>
        </w:rPr>
        <w:t xml:space="preserve"> </w:t>
      </w:r>
      <w:r w:rsidR="0024695B" w:rsidRPr="0024695B">
        <w:rPr>
          <w:rFonts w:hint="cs"/>
          <w:rtl/>
        </w:rPr>
        <w:t>وَأَبْنَاءُ</w:t>
      </w:r>
      <w:r w:rsidR="0024695B" w:rsidRPr="0024695B">
        <w:rPr>
          <w:rtl/>
        </w:rPr>
        <w:t xml:space="preserve"> </w:t>
      </w:r>
      <w:r w:rsidR="0024695B" w:rsidRPr="0024695B">
        <w:rPr>
          <w:rFonts w:hint="cs"/>
          <w:rtl/>
        </w:rPr>
        <w:t>نَ</w:t>
      </w:r>
      <w:r w:rsidR="0024695B" w:rsidRPr="0024695B">
        <w:rPr>
          <w:rtl/>
        </w:rPr>
        <w:t>هَارٍ.</w:t>
      </w:r>
      <w:r w:rsidR="0024695B">
        <w:rPr>
          <w:rFonts w:hint="cs"/>
          <w:rtl/>
        </w:rPr>
        <w:t xml:space="preserve">" (1. تسالونيكي 5: 2 </w:t>
      </w:r>
      <w:r w:rsidR="0024695B">
        <w:rPr>
          <w:rtl/>
        </w:rPr>
        <w:t>–</w:t>
      </w:r>
      <w:r w:rsidR="0024695B">
        <w:rPr>
          <w:rFonts w:hint="cs"/>
          <w:rtl/>
        </w:rPr>
        <w:t xml:space="preserve"> 5). فالقديسون سيؤخذون قبل طلوع النهار وسيتحدون مع المسيح.</w:t>
      </w:r>
    </w:p>
    <w:p w14:paraId="1E541271" w14:textId="3223D32C" w:rsidR="0024695B" w:rsidRDefault="0024695B">
      <w:pPr>
        <w:rPr>
          <w:rtl/>
        </w:rPr>
      </w:pPr>
      <w:r>
        <w:rPr>
          <w:rFonts w:hint="cs"/>
          <w:rtl/>
        </w:rPr>
        <w:t>من ثم نقرأ أيضًا بأن يوم الرب لن يأتي "</w:t>
      </w:r>
      <w:r w:rsidRPr="0024695B">
        <w:rPr>
          <w:rtl/>
        </w:rPr>
        <w:t xml:space="preserve"> </w:t>
      </w:r>
      <w:r w:rsidRPr="0024695B">
        <w:rPr>
          <w:rtl/>
        </w:rPr>
        <w:t>إِنْ لَمْ يَأْتِ الارْتِدَادُ أَوَّلاً، وَيُسْتَعْلَنْ إِنْسَانُ الْخَطِيَّةِ، ابْنُ الْهَلاَكِ،</w:t>
      </w:r>
      <w:r>
        <w:rPr>
          <w:rFonts w:hint="cs"/>
          <w:rtl/>
        </w:rPr>
        <w:t>" إن ارتداد المسيحية هذا سيأتي سريعًا من بعد أخذ المسيحيين الحقيقيين. لأنه متى ما انتُزع هؤلاء من بين أولئك فلن يعود أي شيء يقف أمام اكتمال الارتداد وإعلان الأثيم، لكن وأيضًا أمام مجيء يوم الرب.</w:t>
      </w:r>
    </w:p>
    <w:p w14:paraId="0131C789" w14:textId="50F08736" w:rsidR="000303EC" w:rsidRDefault="000303EC">
      <w:pPr>
        <w:rPr>
          <w:rtl/>
        </w:rPr>
      </w:pPr>
      <w:r>
        <w:rPr>
          <w:rFonts w:hint="cs"/>
          <w:rtl/>
        </w:rPr>
        <w:t>لذا يمكننا أن نقول بأن أخذ القديسين، أو بكلمات أخرى، أن مجيء المسيح ككوكب الصبح المنير لأخذ الكنيسة، عروسه هو أول علامة لاقتراب هذا اليوم المباشر أو ظلامه.</w:t>
      </w:r>
    </w:p>
    <w:p w14:paraId="68359877" w14:textId="6AAAD7BD" w:rsidR="000303EC" w:rsidRDefault="000303EC">
      <w:pPr>
        <w:rPr>
          <w:rtl/>
        </w:rPr>
      </w:pPr>
      <w:r>
        <w:rPr>
          <w:rFonts w:hint="cs"/>
          <w:rtl/>
        </w:rPr>
        <w:t>الكثير يحصرون هذا اليوم في إطار ظهور المسيح أو "مجيئه</w:t>
      </w:r>
      <w:r w:rsidRPr="000303EC">
        <w:rPr>
          <w:rtl/>
        </w:rPr>
        <w:t xml:space="preserve"> عَلَى سَحَاب السَّمَاءِ بِقُوَّةٍ وَمَجْدٍ كَثِيرٍ.</w:t>
      </w:r>
      <w:r>
        <w:rPr>
          <w:rFonts w:hint="cs"/>
          <w:rtl/>
        </w:rPr>
        <w:t>" (متى 24: 30). أولئك يخلطون ظهور الرب الشخصي بيوم الرب. لأن هذا اليوم يشمل كما لاحظنا كل فترة حكم المسيح التي غايتها إعادة كل شيء إلى علاقته الصحيحة بالله؛ وهذا سيتم فقط عندما يكون الله الكل في الكل". وعندها، عندما يخضع الأعداء جميعهم، عندما يُنزع آخر عدو، الموت ويُرفع كل شر، لن يكون هناك داعٍ لحكم فيما بعد في هذا المفهوم كما هو مكتوب: "</w:t>
      </w:r>
      <w:r w:rsidRPr="000303EC">
        <w:rPr>
          <w:rtl/>
        </w:rPr>
        <w:t xml:space="preserve"> </w:t>
      </w:r>
      <w:r w:rsidRPr="000303EC">
        <w:rPr>
          <w:rtl/>
        </w:rPr>
        <w:t xml:space="preserve">لأَنَّهُ يَجِبُ أَنْ يَمْلِكَ حَتَّى يَضَعَ جَمِيعَ الأَعْدَاءِ تَحْتَ قَدَمَيْهِ.  </w:t>
      </w:r>
      <w:r w:rsidRPr="000303EC">
        <w:rPr>
          <w:rFonts w:ascii="Times New Roman" w:hAnsi="Times New Roman" w:cs="Times New Roman" w:hint="cs"/>
          <w:rtl/>
        </w:rPr>
        <w:t>​</w:t>
      </w:r>
      <w:r w:rsidRPr="000303EC">
        <w:rPr>
          <w:rtl/>
        </w:rPr>
        <w:t>26</w:t>
      </w:r>
      <w:r w:rsidRPr="000303EC">
        <w:rPr>
          <w:rFonts w:ascii="Times New Roman" w:hAnsi="Times New Roman" w:cs="Times New Roman" w:hint="cs"/>
          <w:rtl/>
        </w:rPr>
        <w:t>​</w:t>
      </w:r>
      <w:r w:rsidRPr="000303EC">
        <w:rPr>
          <w:rtl/>
        </w:rPr>
        <w:t xml:space="preserve"> </w:t>
      </w:r>
      <w:r w:rsidRPr="000303EC">
        <w:rPr>
          <w:rFonts w:ascii="Times New Roman" w:hAnsi="Times New Roman" w:cs="Times New Roman" w:hint="cs"/>
          <w:rtl/>
        </w:rPr>
        <w:t>​</w:t>
      </w:r>
      <w:r w:rsidRPr="000303EC">
        <w:rPr>
          <w:rFonts w:hint="cs"/>
          <w:rtl/>
        </w:rPr>
        <w:t>آخِرُ</w:t>
      </w:r>
      <w:r w:rsidRPr="000303EC">
        <w:rPr>
          <w:rtl/>
        </w:rPr>
        <w:t xml:space="preserve"> </w:t>
      </w:r>
      <w:r w:rsidRPr="000303EC">
        <w:rPr>
          <w:rFonts w:hint="cs"/>
          <w:rtl/>
        </w:rPr>
        <w:t>عَدُوٍّ</w:t>
      </w:r>
      <w:r w:rsidRPr="000303EC">
        <w:rPr>
          <w:rtl/>
        </w:rPr>
        <w:t xml:space="preserve"> </w:t>
      </w:r>
      <w:r w:rsidRPr="000303EC">
        <w:rPr>
          <w:rFonts w:hint="cs"/>
          <w:rtl/>
        </w:rPr>
        <w:t>يُبْطَلُ</w:t>
      </w:r>
      <w:r w:rsidRPr="000303EC">
        <w:rPr>
          <w:rtl/>
        </w:rPr>
        <w:t xml:space="preserve"> </w:t>
      </w:r>
      <w:r w:rsidRPr="000303EC">
        <w:rPr>
          <w:rFonts w:hint="cs"/>
          <w:rtl/>
        </w:rPr>
        <w:t>هُوَ</w:t>
      </w:r>
      <w:r w:rsidRPr="000303EC">
        <w:rPr>
          <w:rtl/>
        </w:rPr>
        <w:t xml:space="preserve"> </w:t>
      </w:r>
      <w:r w:rsidRPr="000303EC">
        <w:rPr>
          <w:rFonts w:hint="cs"/>
          <w:rtl/>
        </w:rPr>
        <w:t>الْمَوْتُ</w:t>
      </w:r>
      <w:r w:rsidRPr="000303EC">
        <w:rPr>
          <w:rtl/>
        </w:rPr>
        <w:t xml:space="preserve">.  </w:t>
      </w:r>
      <w:r w:rsidRPr="000303EC">
        <w:rPr>
          <w:rFonts w:ascii="Times New Roman" w:hAnsi="Times New Roman" w:cs="Times New Roman" w:hint="cs"/>
          <w:rtl/>
        </w:rPr>
        <w:t>​</w:t>
      </w:r>
      <w:r w:rsidRPr="000303EC">
        <w:rPr>
          <w:rtl/>
        </w:rPr>
        <w:t>27</w:t>
      </w:r>
      <w:r w:rsidRPr="000303EC">
        <w:rPr>
          <w:rFonts w:ascii="Times New Roman" w:hAnsi="Times New Roman" w:cs="Times New Roman" w:hint="cs"/>
          <w:rtl/>
        </w:rPr>
        <w:t>​</w:t>
      </w:r>
      <w:r w:rsidRPr="000303EC">
        <w:rPr>
          <w:rtl/>
        </w:rPr>
        <w:t xml:space="preserve"> </w:t>
      </w:r>
      <w:r w:rsidRPr="000303EC">
        <w:rPr>
          <w:rFonts w:ascii="Times New Roman" w:hAnsi="Times New Roman" w:cs="Times New Roman" w:hint="cs"/>
          <w:rtl/>
        </w:rPr>
        <w:t>​</w:t>
      </w:r>
      <w:r w:rsidRPr="000303EC">
        <w:rPr>
          <w:rFonts w:hint="cs"/>
          <w:rtl/>
        </w:rPr>
        <w:t>لأَنَّهُ</w:t>
      </w:r>
      <w:r w:rsidRPr="000303EC">
        <w:rPr>
          <w:rtl/>
        </w:rPr>
        <w:t xml:space="preserve"> </w:t>
      </w:r>
      <w:r w:rsidRPr="000303EC">
        <w:rPr>
          <w:rFonts w:hint="cs"/>
          <w:rtl/>
        </w:rPr>
        <w:t>أَخْضَعَ</w:t>
      </w:r>
      <w:r w:rsidRPr="000303EC">
        <w:rPr>
          <w:rtl/>
        </w:rPr>
        <w:t xml:space="preserve"> </w:t>
      </w:r>
      <w:r w:rsidRPr="000303EC">
        <w:rPr>
          <w:rFonts w:hint="cs"/>
          <w:rtl/>
        </w:rPr>
        <w:t>كُلَّ</w:t>
      </w:r>
      <w:r w:rsidRPr="000303EC">
        <w:rPr>
          <w:rtl/>
        </w:rPr>
        <w:t xml:space="preserve"> </w:t>
      </w:r>
      <w:r w:rsidRPr="000303EC">
        <w:rPr>
          <w:rFonts w:hint="cs"/>
          <w:rtl/>
        </w:rPr>
        <w:t>شَيْءٍ</w:t>
      </w:r>
      <w:r w:rsidRPr="000303EC">
        <w:rPr>
          <w:rtl/>
        </w:rPr>
        <w:t xml:space="preserve"> </w:t>
      </w:r>
      <w:r w:rsidRPr="000303EC">
        <w:rPr>
          <w:rFonts w:hint="cs"/>
          <w:rtl/>
        </w:rPr>
        <w:t>تَحْتَ</w:t>
      </w:r>
      <w:r w:rsidRPr="000303EC">
        <w:rPr>
          <w:rtl/>
        </w:rPr>
        <w:t xml:space="preserve"> </w:t>
      </w:r>
      <w:r w:rsidRPr="000303EC">
        <w:rPr>
          <w:rFonts w:hint="cs"/>
          <w:rtl/>
        </w:rPr>
        <w:t>قَدَمَيْهِ</w:t>
      </w:r>
      <w:r w:rsidRPr="000303EC">
        <w:rPr>
          <w:rtl/>
        </w:rPr>
        <w:t xml:space="preserve">. </w:t>
      </w:r>
      <w:r w:rsidRPr="000303EC">
        <w:rPr>
          <w:rFonts w:hint="cs"/>
          <w:rtl/>
        </w:rPr>
        <w:t>وَلكِنْ</w:t>
      </w:r>
      <w:r w:rsidRPr="000303EC">
        <w:rPr>
          <w:rtl/>
        </w:rPr>
        <w:t xml:space="preserve"> </w:t>
      </w:r>
      <w:r w:rsidRPr="000303EC">
        <w:rPr>
          <w:rFonts w:hint="cs"/>
          <w:rtl/>
        </w:rPr>
        <w:t>حِينَمَا</w:t>
      </w:r>
      <w:r w:rsidRPr="000303EC">
        <w:rPr>
          <w:rtl/>
        </w:rPr>
        <w:t xml:space="preserve"> </w:t>
      </w:r>
      <w:proofErr w:type="spellStart"/>
      <w:r w:rsidRPr="000303EC">
        <w:rPr>
          <w:rFonts w:hint="cs"/>
          <w:rtl/>
        </w:rPr>
        <w:t>يَقُولُ:</w:t>
      </w:r>
      <w:r w:rsidRPr="000303EC">
        <w:rPr>
          <w:rtl/>
        </w:rPr>
        <w:t>«إِنَّ</w:t>
      </w:r>
      <w:proofErr w:type="spellEnd"/>
      <w:r w:rsidRPr="000303EC">
        <w:rPr>
          <w:rtl/>
        </w:rPr>
        <w:t xml:space="preserve"> كُلَّ شَيْءٍ قَدْ أُخْضِعَ» فَوَاضِحٌ أَنَّهُ غَيْرُ الَّذِي أَخْضَعَ لَهُ الْكُلَّ.  </w:t>
      </w:r>
      <w:r w:rsidRPr="000303EC">
        <w:rPr>
          <w:rFonts w:ascii="Times New Roman" w:hAnsi="Times New Roman" w:cs="Times New Roman" w:hint="cs"/>
          <w:rtl/>
        </w:rPr>
        <w:t>​</w:t>
      </w:r>
      <w:r w:rsidRPr="000303EC">
        <w:rPr>
          <w:rtl/>
        </w:rPr>
        <w:t>28</w:t>
      </w:r>
      <w:r w:rsidRPr="000303EC">
        <w:rPr>
          <w:rFonts w:ascii="Times New Roman" w:hAnsi="Times New Roman" w:cs="Times New Roman" w:hint="cs"/>
          <w:rtl/>
        </w:rPr>
        <w:t>​</w:t>
      </w:r>
      <w:r w:rsidRPr="000303EC">
        <w:rPr>
          <w:rtl/>
        </w:rPr>
        <w:t xml:space="preserve"> </w:t>
      </w:r>
      <w:r w:rsidRPr="000303EC">
        <w:rPr>
          <w:rFonts w:ascii="Times New Roman" w:hAnsi="Times New Roman" w:cs="Times New Roman" w:hint="cs"/>
          <w:rtl/>
        </w:rPr>
        <w:t>​</w:t>
      </w:r>
      <w:r w:rsidRPr="000303EC">
        <w:rPr>
          <w:rFonts w:hint="cs"/>
          <w:rtl/>
        </w:rPr>
        <w:t>و</w:t>
      </w:r>
      <w:r w:rsidRPr="000303EC">
        <w:rPr>
          <w:rtl/>
        </w:rPr>
        <w:t>َمَتَى أُخْضِعَ لَهُ الْكُلُّ، فَحِينَئِذٍ الابْنُ نَفْسُهُ أَيْضًا سَيَخْضَعُ لِلَّذِي أَخْضَعَ لَهُ الْكُلَّ، كَيْ يَكُونَ اللهُ الْكُلَّ فِي الْكُلِّ.</w:t>
      </w:r>
      <w:r>
        <w:rPr>
          <w:rFonts w:hint="cs"/>
          <w:rtl/>
        </w:rPr>
        <w:t xml:space="preserve">" (1. كورنثوس 15: 25 </w:t>
      </w:r>
      <w:r>
        <w:rPr>
          <w:rtl/>
        </w:rPr>
        <w:t>–</w:t>
      </w:r>
      <w:r>
        <w:rPr>
          <w:rFonts w:hint="cs"/>
          <w:rtl/>
        </w:rPr>
        <w:t xml:space="preserve"> 28).</w:t>
      </w:r>
    </w:p>
    <w:p w14:paraId="6520AA1E" w14:textId="633E5FAE" w:rsidR="000303EC" w:rsidRDefault="00ED2B74">
      <w:pPr>
        <w:rPr>
          <w:rtl/>
        </w:rPr>
      </w:pPr>
      <w:r>
        <w:rPr>
          <w:rFonts w:hint="cs"/>
          <w:rtl/>
        </w:rPr>
        <w:t>فيوم الرب يبدأ إذًا بدينونة الأحياء وسيستمر إلى بداية السماء الجديدة والأرض الجديدة. وهذا أيضًا يتضح من الإصحاح الأخير في رسالة بطرس الثانية حيث يُشير الرسول هناك إلى أحداث في يوم الرب، التي ستحدث فقط في نهاية المُلك الألفي: "</w:t>
      </w:r>
      <w:r w:rsidRPr="00ED2B74">
        <w:rPr>
          <w:rtl/>
        </w:rPr>
        <w:t>وَلكِنْ سَيَأْتِي كَلِصٍّ فِي اللَّيْلِ، يَوْمُ الرَّبِّ، الَّذِي فِيهِ تَزُولُ السَّمَاوَاتُ بِضَجِيجٍ، وَتَنْحَلُّ الْعَنَاصِرُ مُحْتَرِقَةً، وَتَحْتَرِقُ الأَرْضُ وَالْمَصْنُوعَاتُ الَّتِي فِيهَا.</w:t>
      </w:r>
      <w:r>
        <w:rPr>
          <w:rFonts w:hint="cs"/>
          <w:rtl/>
        </w:rPr>
        <w:t>" (2. بطرس 3: 10).</w:t>
      </w:r>
    </w:p>
    <w:p w14:paraId="19B8A62C" w14:textId="56C02090" w:rsidR="00ED2B74" w:rsidRDefault="00395788">
      <w:pPr>
        <w:rPr>
          <w:rFonts w:hint="cs"/>
        </w:rPr>
      </w:pPr>
      <w:r>
        <w:rPr>
          <w:rFonts w:hint="cs"/>
          <w:rtl/>
        </w:rPr>
        <w:t xml:space="preserve">هذا اليوم </w:t>
      </w:r>
      <w:r w:rsidR="00315676">
        <w:rPr>
          <w:rFonts w:hint="cs"/>
          <w:rtl/>
        </w:rPr>
        <w:t xml:space="preserve">سيكون بُشرى أولى أقضية العناية الإلهية، كما هي موصوفة لنا في الإصحاح من 6 إلى 19 في سفر الرؤيا، أي بالأحداث التي </w:t>
      </w:r>
      <w:proofErr w:type="spellStart"/>
      <w:r w:rsidR="00315676">
        <w:rPr>
          <w:rFonts w:hint="cs"/>
          <w:rtl/>
        </w:rPr>
        <w:t>تحددث</w:t>
      </w:r>
      <w:proofErr w:type="spellEnd"/>
      <w:r w:rsidR="00315676">
        <w:rPr>
          <w:rFonts w:hint="cs"/>
          <w:rtl/>
        </w:rPr>
        <w:t xml:space="preserve"> لإعداد كل شيء لظهور يسوع </w:t>
      </w:r>
      <w:hyperlink r:id="rId4" w:anchor=":~:text=Dann%20folgt%20das%20Gericht%20der%20Lebendigen" w:history="1">
        <w:r w:rsidR="00315676" w:rsidRPr="004469C4">
          <w:rPr>
            <w:rStyle w:val="Hyperlink"/>
            <w:rFonts w:hint="cs"/>
            <w:rtl/>
          </w:rPr>
          <w:t>المسيح</w:t>
        </w:r>
      </w:hyperlink>
      <w:r w:rsidR="00315676">
        <w:rPr>
          <w:rFonts w:hint="cs"/>
          <w:rtl/>
        </w:rPr>
        <w:t>.</w:t>
      </w:r>
    </w:p>
    <w:sectPr w:rsidR="00ED2B74"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EB"/>
    <w:rsid w:val="000303EC"/>
    <w:rsid w:val="00043A77"/>
    <w:rsid w:val="000C3FEB"/>
    <w:rsid w:val="0024695B"/>
    <w:rsid w:val="00315676"/>
    <w:rsid w:val="00374B1C"/>
    <w:rsid w:val="00395788"/>
    <w:rsid w:val="004469C4"/>
    <w:rsid w:val="00BE011D"/>
    <w:rsid w:val="00C6505E"/>
    <w:rsid w:val="00E03FA1"/>
    <w:rsid w:val="00ED2B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C844"/>
  <w15:chartTrackingRefBased/>
  <w15:docId w15:val="{D8E2E122-3C18-402F-AA0A-734B3F3A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3FEB"/>
    <w:rPr>
      <w:color w:val="0563C1" w:themeColor="hyperlink"/>
      <w:u w:val="single"/>
    </w:rPr>
  </w:style>
  <w:style w:type="character" w:styleId="UnresolvedMention">
    <w:name w:val="Unresolved Mention"/>
    <w:basedOn w:val="DefaultParagraphFont"/>
    <w:uiPriority w:val="99"/>
    <w:semiHidden/>
    <w:unhideWhenUsed/>
    <w:rsid w:val="000C3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680/botschafter-des-heils-in-christo-1886/der-tag-des-her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670</Words>
  <Characters>3352</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6</cp:revision>
  <dcterms:created xsi:type="dcterms:W3CDTF">2023-04-22T16:30:00Z</dcterms:created>
  <dcterms:modified xsi:type="dcterms:W3CDTF">2023-04-22T17:39:00Z</dcterms:modified>
</cp:coreProperties>
</file>